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Trade Facilitation Agreement</w:t>
      </w:r>
    </w:p>
    <w:p>
      <w:pPr>
        <w:jc w:val="center"/>
      </w:pPr>
      <w:r>
        <w:rPr>
          <w:rStyle w:val="verdana_11_bold"/>
        </w:rPr>
        <w:t xml:space="preserve">Status of implementation commitments</w:t>
      </w:r>
    </w:p>
    <w:p>
      <w:pPr>
        <w:jc w:val="center"/>
      </w:pPr>
      <w:r>
        <w:rPr>
          <w:rStyle w:val="verdana_10"/>
        </w:rPr>
        <w:t xml:space="preserve">1 enero 2026 - 31 diciembre 2027</w:t>
      </w:r>
    </w:p>
    <w:p>
      <w:pPr/>
      <w:r>
        <w:rPr/>
        <w:t xml:space="preserve"/>
      </w:r>
    </w:p>
    <w:p>
      <w:hyperlink r:id="rId7" w:history="1">
        <w:r>
          <w:rPr>
            <w:rStyle w:val="verdana_9_bold"/>
          </w:rPr>
          <w:t xml:space="preserve">Afganistán</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Procedimientos de recurso o de revisión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Disciplinas en materia de sanciones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10.7</w:t>
            </w:r>
          </w:p>
        </w:tc>
        <w:tc>
          <w:tcPr>
            <w:tcW w:w="3000" w:type="dxa"/>
            <w:noWrap/>
          </w:tcPr>
          <w:p>
            <w:pPr>
              <w:pStyle w:val="no_space_after"/>
            </w:pPr>
            <w:r>
              <w:rPr>
                <w:rStyle w:val="verdana_9"/>
              </w:rPr>
              <w:t xml:space="preserve">Procedimientos en frontera comunes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11.1, 11.2, 11.6, 11.12, 11.14, 11.15, 11.17</w:t>
            </w:r>
          </w:p>
        </w:tc>
        <w:tc>
          <w:tcPr>
            <w:tcW w:w="3000" w:type="dxa"/>
            <w:noWrap/>
          </w:tcPr>
          <w:p>
            <w:pPr>
              <w:pStyle w:val="no_space_after"/>
            </w:pPr>
            <w:r>
              <w:rPr>
                <w:rStyle w:val="verdana_9"/>
              </w:rPr>
              <w:t xml:space="preserve">Tránsito</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12.1</w:t>
            </w:r>
          </w:p>
        </w:tc>
        <w:tc>
          <w:tcPr>
            <w:tcW w:w="3000" w:type="dxa"/>
            <w:noWrap/>
          </w:tcPr>
          <w:p>
            <w:pPr>
              <w:pStyle w:val="no_space_after"/>
            </w:pPr>
            <w:r>
              <w:rPr>
                <w:rStyle w:val="verdana_9"/>
              </w:rPr>
              <w:t xml:space="preserve">Cooperación aduanera</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bl>
    <w:p>
      <w:pPr/>
      <w:r>
        <w:rPr/>
        <w:t xml:space="preserve"/>
      </w:r>
    </w:p>
    <w:p>
      <w:hyperlink r:id="rId8" w:history="1">
        <w:r>
          <w:rPr>
            <w:rStyle w:val="verdana_9_bold"/>
          </w:rPr>
          <w:t xml:space="preserve">Angola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Gestión de riesgo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Utilización de las normas internacionales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10.7</w:t>
            </w:r>
          </w:p>
        </w:tc>
        <w:tc>
          <w:tcPr>
            <w:tcW w:w="3000" w:type="dxa"/>
            <w:noWrap/>
          </w:tcPr>
          <w:p>
            <w:pPr>
              <w:pStyle w:val="no_space_after"/>
            </w:pPr>
            <w:r>
              <w:rPr>
                <w:rStyle w:val="verdana_9"/>
              </w:rPr>
              <w:t xml:space="preserve">Procedimientos en frontera comunes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Tránsito</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junio 2026</w:t>
            </w:r>
          </w:p>
        </w:tc>
      </w:tr>
    </w:tbl>
    <w:p>
      <w:pPr/>
      <w:r>
        <w:rPr/>
        <w:t xml:space="preserve"/>
      </w:r>
    </w:p>
    <w:p>
      <w:hyperlink r:id="rId9" w:history="1">
        <w:r>
          <w:rPr>
            <w:rStyle w:val="verdana_9_bold"/>
          </w:rPr>
          <w:t xml:space="preserve">Argentina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3.9 (a) (ii)</w:t>
            </w:r>
          </w:p>
        </w:tc>
        <w:tc>
          <w:tcPr>
            <w:tcW w:w="3000" w:type="dxa"/>
            <w:noWrap/>
          </w:tcPr>
          <w:p>
            <w:pPr>
              <w:pStyle w:val="no_space_after"/>
            </w:pPr>
            <w:r>
              <w:rPr>
                <w:rStyle w:val="verdana_9"/>
              </w:rPr>
              <w:t xml:space="preserve">Resoluciones anticipadas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23 enero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25 enero 2026</w:t>
            </w:r>
          </w:p>
        </w:tc>
      </w:tr>
    </w:tbl>
    <w:p>
      <w:pPr/>
      <w:r>
        <w:rPr/>
        <w:t xml:space="preserve"/>
      </w:r>
    </w:p>
    <w:p>
      <w:hyperlink r:id="rId10" w:history="1">
        <w:r>
          <w:rPr>
            <w:rStyle w:val="verdana_9_bold"/>
          </w:rPr>
          <w:t xml:space="preserve">Bangladesh</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Servicios de información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Auditoría posterior al despacho de aduana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Envíos urgentes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10.1.1 (a)</w:t>
            </w:r>
          </w:p>
        </w:tc>
        <w:tc>
          <w:tcPr>
            <w:tcW w:w="3000" w:type="dxa"/>
            <w:noWrap/>
          </w:tcPr>
          <w:p>
            <w:pPr>
              <w:pStyle w:val="no_space_after"/>
            </w:pPr>
            <w:r>
              <w:rPr>
                <w:rStyle w:val="verdana_9"/>
              </w:rPr>
              <w:t xml:space="preserve">Formalidades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bl>
    <w:p>
      <w:pPr/>
      <w:r>
        <w:rPr/>
        <w:t xml:space="preserve"/>
      </w:r>
    </w:p>
    <w:p>
      <w:hyperlink r:id="rId11" w:history="1">
        <w:r>
          <w:rPr>
            <w:rStyle w:val="verdana_9_bold"/>
          </w:rPr>
          <w:t xml:space="preserve">Barbados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Disciplinas específicas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Auditoría posterior al despacho de aduana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bl>
    <w:p>
      <w:pPr/>
      <w:r>
        <w:rPr/>
        <w:t xml:space="preserve"/>
      </w:r>
    </w:p>
    <w:p>
      <w:hyperlink r:id="rId12" w:history="1">
        <w:r>
          <w:rPr>
            <w:rStyle w:val="verdana_9_bold"/>
          </w:rPr>
          <w:t xml:space="preserve">Belice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Tramitación previa a la llegada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Pago electrónico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bl>
    <w:p>
      <w:pPr/>
      <w:r>
        <w:rPr/>
        <w:t xml:space="preserve"/>
      </w:r>
    </w:p>
    <w:p>
      <w:hyperlink r:id="rId13" w:history="1">
        <w:r>
          <w:rPr>
            <w:rStyle w:val="verdana_9_bold"/>
          </w:rPr>
          <w:t xml:space="preserve">Botswana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bl>
    <w:p>
      <w:pPr/>
      <w:r>
        <w:rPr/>
        <w:t xml:space="preserve"/>
      </w:r>
    </w:p>
    <w:p>
      <w:hyperlink r:id="rId14" w:history="1">
        <w:r>
          <w:rPr>
            <w:rStyle w:val="verdana_9_bold"/>
          </w:rPr>
          <w:t xml:space="preserve">Burkina Faso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Notificaciones de controles o inspecciones reforzados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Disciplinas generales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Disciplinas específicas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Pago electrónico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Gestión de riesgo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Auditoría posterior al despacho de aduana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Operadores autorizados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Cooperación aduanera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bl>
    <w:p>
      <w:pPr/>
      <w:r>
        <w:rPr/>
        <w:t xml:space="preserve"/>
      </w:r>
    </w:p>
    <w:p>
      <w:hyperlink r:id="rId15" w:history="1">
        <w:r>
          <w:rPr>
            <w:rStyle w:val="verdana_9_bold"/>
          </w:rPr>
          <w:t xml:space="preserve">Burundi</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Servicios de información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Resoluciones anticipadas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Notificaciones de controles o inspecciones reforzados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Disciplinas específicas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Tramitación previa a la llegada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Plazos medios de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Formalidades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Utilización de las normas internacionales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bl>
    <w:p>
      <w:pPr/>
      <w:r>
        <w:rPr/>
        <w:t xml:space="preserve"/>
      </w:r>
    </w:p>
    <w:p>
      <w:hyperlink r:id="rId16" w:history="1">
        <w:r>
          <w:rPr>
            <w:rStyle w:val="verdana_9_bold"/>
          </w:rPr>
          <w:t xml:space="preserve">Cabo Verde </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julio 2026</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Operadores autorizados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enero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Formalidades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enero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julio 2027</w:t>
            </w:r>
          </w:p>
        </w:tc>
      </w:tr>
    </w:tbl>
    <w:p>
      <w:pPr/>
      <w:r>
        <w:rPr/>
        <w:t xml:space="preserve"/>
      </w:r>
    </w:p>
    <w:p>
      <w:hyperlink r:id="rId17" w:history="1">
        <w:r>
          <w:rPr>
            <w:rStyle w:val="verdana_9_bold"/>
          </w:rPr>
          <w:t xml:space="preserve">República Centroafricana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Información disponible por medio de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Servicios de información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1.4</w:t>
            </w:r>
          </w:p>
        </w:tc>
        <w:tc>
          <w:tcPr>
            <w:tcW w:w="3000" w:type="dxa"/>
            <w:noWrap/>
          </w:tcPr>
          <w:p>
            <w:pPr>
              <w:pStyle w:val="no_space_after"/>
            </w:pPr>
            <w:r>
              <w:rPr>
                <w:rStyle w:val="verdana_9"/>
              </w:rPr>
              <w:t xml:space="preserve">Notificación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Resoluciones anticipadas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5.2</w:t>
            </w:r>
          </w:p>
        </w:tc>
        <w:tc>
          <w:tcPr>
            <w:tcW w:w="3000" w:type="dxa"/>
            <w:noWrap/>
          </w:tcPr>
          <w:p>
            <w:pPr>
              <w:pStyle w:val="no_space_after"/>
            </w:pPr>
            <w:r>
              <w:rPr>
                <w:rStyle w:val="verdana_9"/>
              </w:rPr>
              <w:t xml:space="preserve">Retención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Disciplinas generales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Disciplinas específicas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Disciplinas en materia de sanciones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bl>
    <w:p>
      <w:pPr/>
      <w:r>
        <w:rPr/>
        <w:t xml:space="preserve"/>
      </w:r>
    </w:p>
    <w:p>
      <w:hyperlink r:id="rId18" w:history="1">
        <w:r>
          <w:rPr>
            <w:rStyle w:val="verdana_9_bold"/>
          </w:rPr>
          <w:t xml:space="preserve">Chad</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Observaciones e información antes de la entrada en vigor</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enero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enero 2026</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Resoluciones anticipadas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enero 2026</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Procedimientos de recurso o de revisión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enero 2026</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Notificaciones de controles o inspecciones reforzados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enero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Disciplinas en materia de sanciones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enero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Tramitación previa a la llegada</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enero 2026</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Mercancías perecederas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enero 2026</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Tránsito</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enero 2026</w:t>
            </w:r>
          </w:p>
        </w:tc>
      </w:tr>
    </w:tbl>
    <w:p>
      <w:pPr/>
      <w:r>
        <w:rPr/>
        <w:t xml:space="preserve"/>
      </w:r>
    </w:p>
    <w:p>
      <w:hyperlink r:id="rId19" w:history="1">
        <w:r>
          <w:rPr>
            <w:rStyle w:val="verdana_9_bold"/>
          </w:rPr>
          <w:t xml:space="preserve">Comoras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Observaciones e información antes de la entrada en vigor</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Resoluciones anticipadas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Procedimientos de recurso o de revisión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5.2</w:t>
            </w:r>
          </w:p>
        </w:tc>
        <w:tc>
          <w:tcPr>
            <w:tcW w:w="3000" w:type="dxa"/>
            <w:noWrap/>
          </w:tcPr>
          <w:p>
            <w:pPr>
              <w:pStyle w:val="no_space_after"/>
            </w:pPr>
            <w:r>
              <w:rPr>
                <w:rStyle w:val="verdana_9"/>
              </w:rPr>
              <w:t xml:space="preserve">Retención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Disciplinas generales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Disciplinas específicas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Disciplinas en materia de sanciones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Tramitación previa a la llegada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Pago electrónico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Separación del levante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Plazos medios de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Operadores autorizados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Envíos urgentes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10.9</w:t>
            </w:r>
          </w:p>
        </w:tc>
        <w:tc>
          <w:tcPr>
            <w:tcW w:w="3000" w:type="dxa"/>
            <w:noWrap/>
          </w:tcPr>
          <w:p>
            <w:pPr>
              <w:pStyle w:val="no_space_after"/>
            </w:pPr>
            <w:r>
              <w:rPr>
                <w:rStyle w:val="verdana_9"/>
              </w:rPr>
              <w:t xml:space="preserve">Admisión temporal de mercancías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bl>
    <w:p>
      <w:pPr/>
      <w:r>
        <w:rPr/>
        <w:t xml:space="preserve"/>
      </w:r>
    </w:p>
    <w:p>
      <w:hyperlink r:id="rId20" w:history="1">
        <w:r>
          <w:rPr>
            <w:rStyle w:val="verdana_9_bold"/>
          </w:rPr>
          <w:t xml:space="preserve">Congo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Información disponible por medio de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marzo 2027</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mayo 2027</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Disciplinas específicas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mayo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Gestión de riesgo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marzo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Plazos medios de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abril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Envíos urgentes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marzo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11.14</w:t>
            </w:r>
          </w:p>
        </w:tc>
        <w:tc>
          <w:tcPr>
            <w:tcW w:w="3000" w:type="dxa"/>
            <w:noWrap/>
          </w:tcPr>
          <w:p>
            <w:pPr>
              <w:pStyle w:val="no_space_after"/>
            </w:pPr>
            <w:r>
              <w:rPr>
                <w:rStyle w:val="verdana_9"/>
              </w:rPr>
              <w:t xml:space="preserve">Tránsito</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diciembre 2026</w:t>
            </w:r>
          </w:p>
        </w:tc>
      </w:tr>
    </w:tbl>
    <w:p>
      <w:pPr/>
      <w:r>
        <w:rPr/>
        <w:t xml:space="preserve"/>
      </w:r>
    </w:p>
    <w:p>
      <w:hyperlink r:id="rId21" w:history="1">
        <w:r>
          <w:rPr>
            <w:rStyle w:val="verdana_9_bold"/>
          </w:rPr>
          <w:t xml:space="preserve">Côte d'Ivoire </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Disciplinas generales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Disciplinas en materia de sanciones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Pago electrónico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Plazos medios de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Operadores autorizados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Formalidades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10.2</w:t>
            </w:r>
          </w:p>
        </w:tc>
        <w:tc>
          <w:tcPr>
            <w:tcW w:w="3000" w:type="dxa"/>
            <w:noWrap/>
          </w:tcPr>
          <w:p>
            <w:pPr>
              <w:pStyle w:val="no_space_after"/>
            </w:pPr>
            <w:r>
              <w:rPr>
                <w:rStyle w:val="verdana_9"/>
              </w:rPr>
              <w:t xml:space="preserve">Aceptación de copias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10.6</w:t>
            </w:r>
          </w:p>
        </w:tc>
        <w:tc>
          <w:tcPr>
            <w:tcW w:w="3000" w:type="dxa"/>
            <w:noWrap/>
          </w:tcPr>
          <w:p>
            <w:pPr>
              <w:pStyle w:val="no_space_after"/>
            </w:pPr>
            <w:r>
              <w:rPr>
                <w:rStyle w:val="verdana_9"/>
              </w:rPr>
              <w:t xml:space="preserve">Recurso a agentes de aduanas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Cooperación aduanera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bl>
    <w:p>
      <w:pPr/>
      <w:r>
        <w:rPr/>
        <w:t xml:space="preserve"/>
      </w:r>
    </w:p>
    <w:p>
      <w:hyperlink r:id="rId22" w:history="1">
        <w:r>
          <w:rPr>
            <w:rStyle w:val="verdana_9_bold"/>
          </w:rPr>
          <w:t xml:space="preserve">Cuba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febrero 2027</w:t>
            </w:r>
          </w:p>
        </w:tc>
      </w:tr>
    </w:tbl>
    <w:p>
      <w:pPr/>
      <w:r>
        <w:rPr/>
        <w:t xml:space="preserve"/>
      </w:r>
    </w:p>
    <w:p>
      <w:hyperlink r:id="rId23" w:history="1">
        <w:r>
          <w:rPr>
            <w:rStyle w:val="verdana_9_bold"/>
          </w:rPr>
          <w:t xml:space="preserve">Djibouti</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Información disponible por medio de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1.4</w:t>
            </w:r>
          </w:p>
        </w:tc>
        <w:tc>
          <w:tcPr>
            <w:tcW w:w="3000" w:type="dxa"/>
            <w:noWrap/>
          </w:tcPr>
          <w:p>
            <w:pPr>
              <w:pStyle w:val="no_space_after"/>
            </w:pPr>
            <w:r>
              <w:rPr>
                <w:rStyle w:val="verdana_9"/>
              </w:rPr>
              <w:t xml:space="preserve">Notificación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Observaciones e información antes de la entrada en vigor</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Disciplinas en materia de sanciones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Auditoría posterior al despacho de aduana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10.9</w:t>
            </w:r>
          </w:p>
        </w:tc>
        <w:tc>
          <w:tcPr>
            <w:tcW w:w="3000" w:type="dxa"/>
            <w:noWrap/>
          </w:tcPr>
          <w:p>
            <w:pPr>
              <w:pStyle w:val="no_space_after"/>
            </w:pPr>
            <w:r>
              <w:rPr>
                <w:rStyle w:val="verdana_9"/>
              </w:rPr>
              <w:t xml:space="preserve">Admisión temporal de mercancías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11.1, 11.2, 11.3</w:t>
            </w:r>
          </w:p>
        </w:tc>
        <w:tc>
          <w:tcPr>
            <w:tcW w:w="3000" w:type="dxa"/>
            <w:noWrap/>
          </w:tcPr>
          <w:p>
            <w:pPr>
              <w:pStyle w:val="no_space_after"/>
            </w:pPr>
            <w:r>
              <w:rPr>
                <w:rStyle w:val="verdana_9"/>
              </w:rPr>
              <w:t xml:space="preserve">Tránsito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bl>
    <w:p>
      <w:pPr/>
      <w:r>
        <w:rPr/>
        <w:t xml:space="preserve"/>
      </w:r>
    </w:p>
    <w:p>
      <w:hyperlink r:id="rId24" w:history="1">
        <w:r>
          <w:rPr>
            <w:rStyle w:val="verdana_9_bold"/>
          </w:rPr>
          <w:t xml:space="preserve">Ecuador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julio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enero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Operadores autorizados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julio 2026</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enero 2027</w:t>
            </w:r>
          </w:p>
        </w:tc>
      </w:tr>
      <w:tr>
        <w:trPr>
          <w:cantSplit w:val="1"/>
        </w:trPr>
        <w:tc>
          <w:tcPr>
            <w:tcW w:w="1500" w:type="dxa"/>
            <w:noWrap/>
          </w:tcPr>
          <w:p>
            <w:pPr>
              <w:pStyle w:val="no_space_after"/>
            </w:pPr>
            <w:r>
              <w:rPr>
                <w:rStyle w:val="verdana_9"/>
              </w:rPr>
              <w:t xml:space="preserve">10.2</w:t>
            </w:r>
          </w:p>
        </w:tc>
        <w:tc>
          <w:tcPr>
            <w:tcW w:w="3000" w:type="dxa"/>
            <w:noWrap/>
          </w:tcPr>
          <w:p>
            <w:pPr>
              <w:pStyle w:val="no_space_after"/>
            </w:pPr>
            <w:r>
              <w:rPr>
                <w:rStyle w:val="verdana_9"/>
              </w:rPr>
              <w:t xml:space="preserve">Aceptación de copias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15 julio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15 julio 2027</w:t>
            </w:r>
          </w:p>
        </w:tc>
      </w:tr>
    </w:tbl>
    <w:p>
      <w:pPr/>
      <w:r>
        <w:rPr/>
        <w:t xml:space="preserve"/>
      </w:r>
    </w:p>
    <w:p>
      <w:hyperlink r:id="rId25" w:history="1">
        <w:r>
          <w:rPr>
            <w:rStyle w:val="verdana_9_bold"/>
          </w:rPr>
          <w:t xml:space="preserve">Egipto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Información disponible por medio de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Servicios de información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1.4</w:t>
            </w:r>
          </w:p>
        </w:tc>
        <w:tc>
          <w:tcPr>
            <w:tcW w:w="3000" w:type="dxa"/>
            <w:noWrap/>
          </w:tcPr>
          <w:p>
            <w:pPr>
              <w:pStyle w:val="no_space_after"/>
            </w:pPr>
            <w:r>
              <w:rPr>
                <w:rStyle w:val="verdana_9"/>
              </w:rPr>
              <w:t xml:space="preserve">Notificación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Resoluciones anticipadas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Disciplinas generales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Gestión de riesgo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Envíos urgentes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11.4, 11.5, 11.6, 11.7, 11.8, 11.9, 11.10, 11.17</w:t>
            </w:r>
          </w:p>
        </w:tc>
        <w:tc>
          <w:tcPr>
            <w:tcW w:w="3000" w:type="dxa"/>
            <w:noWrap/>
          </w:tcPr>
          <w:p>
            <w:pPr>
              <w:pStyle w:val="no_space_after"/>
            </w:pPr>
            <w:r>
              <w:rPr>
                <w:rStyle w:val="verdana_9"/>
              </w:rPr>
              <w:t xml:space="preserve">Tránsito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bl>
    <w:p>
      <w:pPr/>
      <w:r>
        <w:rPr/>
        <w:t xml:space="preserve"/>
      </w:r>
    </w:p>
    <w:p>
      <w:hyperlink r:id="rId26" w:history="1">
        <w:r>
          <w:rPr>
            <w:rStyle w:val="verdana_9_bold"/>
          </w:rPr>
          <w:t xml:space="preserve">El Salvador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23 diciembre 2027</w:t>
            </w:r>
          </w:p>
        </w:tc>
      </w:tr>
    </w:tbl>
    <w:p>
      <w:pPr/>
      <w:r>
        <w:rPr/>
        <w:t xml:space="preserve"/>
      </w:r>
    </w:p>
    <w:p>
      <w:hyperlink r:id="rId27" w:history="1">
        <w:r>
          <w:rPr>
            <w:rStyle w:val="verdana_9_bold"/>
          </w:rPr>
          <w:t xml:space="preserve">Eswatini, Reino de </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Observaciones e información antes de la entrada en vigor</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Procedimientos de recurso o de revisión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Notificaciones de controles o inspecciones reforzados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agosto 2026</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Disciplinas generales en materia de derechos y cargas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Envíos urgentes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Mercancías perecederas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9</w:t>
            </w:r>
          </w:p>
        </w:tc>
        <w:tc>
          <w:tcPr>
            <w:tcW w:w="3000" w:type="dxa"/>
            <w:noWrap/>
          </w:tcPr>
          <w:p>
            <w:pPr>
              <w:pStyle w:val="no_space_after"/>
            </w:pPr>
            <w:r>
              <w:rPr>
                <w:rStyle w:val="verdana_9"/>
              </w:rPr>
              <w:t xml:space="preserve">Traslado de mercancías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10.2</w:t>
            </w:r>
          </w:p>
        </w:tc>
        <w:tc>
          <w:tcPr>
            <w:tcW w:w="3000" w:type="dxa"/>
            <w:noWrap/>
          </w:tcPr>
          <w:p>
            <w:pPr>
              <w:pStyle w:val="no_space_after"/>
            </w:pPr>
            <w:r>
              <w:rPr>
                <w:rStyle w:val="verdana_9"/>
              </w:rPr>
              <w:t xml:space="preserve">Aceptación de copias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10.7</w:t>
            </w:r>
          </w:p>
        </w:tc>
        <w:tc>
          <w:tcPr>
            <w:tcW w:w="3000" w:type="dxa"/>
            <w:noWrap/>
          </w:tcPr>
          <w:p>
            <w:pPr>
              <w:pStyle w:val="no_space_after"/>
            </w:pPr>
            <w:r>
              <w:rPr>
                <w:rStyle w:val="verdana_9"/>
              </w:rPr>
              <w:t xml:space="preserve">Procedimientos en frontera comunes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10.8</w:t>
            </w:r>
          </w:p>
        </w:tc>
        <w:tc>
          <w:tcPr>
            <w:tcW w:w="3000" w:type="dxa"/>
            <w:noWrap/>
          </w:tcPr>
          <w:p>
            <w:pPr>
              <w:pStyle w:val="no_space_after"/>
            </w:pPr>
            <w:r>
              <w:rPr>
                <w:rStyle w:val="verdana_9"/>
              </w:rPr>
              <w:t xml:space="preserve">Mercancías rechazadas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10.9</w:t>
            </w:r>
          </w:p>
        </w:tc>
        <w:tc>
          <w:tcPr>
            <w:tcW w:w="3000" w:type="dxa"/>
            <w:noWrap/>
          </w:tcPr>
          <w:p>
            <w:pPr>
              <w:pStyle w:val="no_space_after"/>
            </w:pPr>
            <w:r>
              <w:rPr>
                <w:rStyle w:val="verdana_9"/>
              </w:rPr>
              <w:t xml:space="preserve">Admisión temporal de mercancías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Tránsito</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Cooperación aduanera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febrero 2027</w:t>
            </w:r>
          </w:p>
        </w:tc>
      </w:tr>
    </w:tbl>
    <w:p>
      <w:pPr/>
      <w:r>
        <w:rPr/>
        <w:t xml:space="preserve"/>
      </w:r>
    </w:p>
    <w:p>
      <w:hyperlink r:id="rId28" w:history="1">
        <w:r>
          <w:rPr>
            <w:rStyle w:val="verdana_9_bold"/>
          </w:rPr>
          <w:t xml:space="preserve">Gabón</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Información disponible por medio de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Servicios de información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1.4</w:t>
            </w:r>
          </w:p>
        </w:tc>
        <w:tc>
          <w:tcPr>
            <w:tcW w:w="3000" w:type="dxa"/>
            <w:noWrap/>
          </w:tcPr>
          <w:p>
            <w:pPr>
              <w:pStyle w:val="no_space_after"/>
            </w:pPr>
            <w:r>
              <w:rPr>
                <w:rStyle w:val="verdana_9"/>
              </w:rPr>
              <w:t xml:space="preserve">Notificación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Resoluciones anticipadas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Procedimientos de recurso o de revisión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Disciplinas generales en materia de derechos y cargas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6.2</w:t>
            </w:r>
          </w:p>
        </w:tc>
        <w:tc>
          <w:tcPr>
            <w:tcW w:w="3000" w:type="dxa"/>
            <w:noWrap/>
          </w:tcPr>
          <w:p>
            <w:pPr>
              <w:pStyle w:val="no_space_after"/>
            </w:pPr>
            <w:r>
              <w:rPr>
                <w:rStyle w:val="verdana_9"/>
              </w:rPr>
              <w:t xml:space="preserve">Disciplinas específicas en materia de derechos y cargas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Disciplinas en materia de sanciones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Separación del levante</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Gestión de riesgo</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Formalidades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Utilización de las normas internacionales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Tránsito</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Cooperación aduanera</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bl>
    <w:p>
      <w:pPr/>
      <w:r>
        <w:rPr/>
        <w:t xml:space="preserve"/>
      </w:r>
    </w:p>
    <w:p>
      <w:hyperlink r:id="rId29" w:history="1">
        <w:r>
          <w:rPr>
            <w:rStyle w:val="verdana_9_bold"/>
          </w:rPr>
          <w:t xml:space="preserve">Gambia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Pago electrónico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bl>
    <w:p>
      <w:pPr/>
      <w:r>
        <w:rPr/>
        <w:t xml:space="preserve"/>
      </w:r>
    </w:p>
    <w:p>
      <w:hyperlink r:id="rId30" w:history="1">
        <w:r>
          <w:rPr>
            <w:rStyle w:val="verdana_9_bold"/>
          </w:rPr>
          <w:t xml:space="preserve">Granada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Resoluciones anticipadas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Disciplinas generales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Pago electrónico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Plazos medios de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bl>
    <w:p>
      <w:pPr/>
      <w:r>
        <w:rPr/>
        <w:t xml:space="preserve"/>
      </w:r>
    </w:p>
    <w:p>
      <w:hyperlink r:id="rId31" w:history="1">
        <w:r>
          <w:rPr>
            <w:rStyle w:val="verdana_9_bold"/>
          </w:rPr>
          <w:t xml:space="preserve">Guatemala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10.4.1, 10.4.2</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bl>
    <w:p>
      <w:pPr/>
      <w:r>
        <w:rPr/>
        <w:t xml:space="preserve"/>
      </w:r>
    </w:p>
    <w:p>
      <w:hyperlink r:id="rId32" w:history="1">
        <w:r>
          <w:rPr>
            <w:rStyle w:val="verdana_9_bold"/>
          </w:rPr>
          <w:t xml:space="preserve">Guinea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bl>
    <w:p>
      <w:pPr/>
      <w:r>
        <w:rPr/>
        <w:t xml:space="preserve"/>
      </w:r>
    </w:p>
    <w:p>
      <w:hyperlink r:id="rId33" w:history="1">
        <w:r>
          <w:rPr>
            <w:rStyle w:val="verdana_9_bold"/>
          </w:rPr>
          <w:t xml:space="preserve">Guyana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1.3.2</w:t>
            </w:r>
          </w:p>
        </w:tc>
        <w:tc>
          <w:tcPr>
            <w:tcW w:w="3000" w:type="dxa"/>
            <w:noWrap/>
          </w:tcPr>
          <w:p>
            <w:pPr>
              <w:pStyle w:val="no_space_after"/>
            </w:pPr>
            <w:r>
              <w:rPr>
                <w:rStyle w:val="verdana_9"/>
              </w:rPr>
              <w:t xml:space="preserve">Servicios de información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febrero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febrero 2026</w:t>
            </w:r>
          </w:p>
        </w:tc>
      </w:tr>
      <w:tr>
        <w:trPr>
          <w:cantSplit w:val="1"/>
        </w:trPr>
        <w:tc>
          <w:tcPr>
            <w:tcW w:w="1500" w:type="dxa"/>
            <w:noWrap/>
          </w:tcPr>
          <w:p>
            <w:pPr>
              <w:pStyle w:val="no_space_after"/>
            </w:pPr>
            <w:r>
              <w:rPr>
                <w:rStyle w:val="verdana_9"/>
              </w:rPr>
              <w:t xml:space="preserve">8.2 (b), 8.2 (c), 8.2 (d), 8.2 (e)</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febrero 2027</w:t>
            </w:r>
          </w:p>
        </w:tc>
      </w:tr>
    </w:tbl>
    <w:p>
      <w:pPr/>
      <w:r>
        <w:rPr/>
        <w:t xml:space="preserve"/>
      </w:r>
    </w:p>
    <w:p>
      <w:hyperlink r:id="rId34" w:history="1">
        <w:r>
          <w:rPr>
            <w:rStyle w:val="verdana_9_bold"/>
          </w:rPr>
          <w:t xml:space="preserve">Honduras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Separación del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marzo 2026</w:t>
            </w:r>
          </w:p>
        </w:tc>
      </w:tr>
      <w:tr>
        <w:trPr>
          <w:cantSplit w:val="1"/>
        </w:trPr>
        <w:tc>
          <w:tcPr>
            <w:tcW w:w="1500" w:type="dxa"/>
            <w:noWrap/>
          </w:tcPr>
          <w:p>
            <w:pPr>
              <w:pStyle w:val="no_space_after"/>
            </w:pPr>
            <w:r>
              <w:rPr>
                <w:rStyle w:val="verdana_9"/>
              </w:rPr>
              <w:t xml:space="preserve">7.8.2 (d)</w:t>
            </w:r>
          </w:p>
        </w:tc>
        <w:tc>
          <w:tcPr>
            <w:tcW w:w="3000" w:type="dxa"/>
            <w:noWrap/>
          </w:tcPr>
          <w:p>
            <w:pPr>
              <w:pStyle w:val="no_space_after"/>
            </w:pPr>
            <w:r>
              <w:rPr>
                <w:rStyle w:val="verdana_9"/>
              </w:rPr>
              <w:t xml:space="preserve">Envíos urgentes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1 marzo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marzo 2027</w:t>
            </w:r>
          </w:p>
        </w:tc>
      </w:tr>
    </w:tbl>
    <w:p>
      <w:pPr/>
      <w:r>
        <w:rPr/>
        <w:t xml:space="preserve"/>
      </w:r>
    </w:p>
    <w:p>
      <w:hyperlink r:id="rId35" w:history="1">
        <w:r>
          <w:rPr>
            <w:rStyle w:val="verdana_9_bold"/>
          </w:rPr>
          <w:t xml:space="preserve">Kenya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Servicios de información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septiembre 2027</w:t>
            </w:r>
          </w:p>
        </w:tc>
      </w:tr>
      <w:tr>
        <w:trPr>
          <w:cantSplit w:val="1"/>
        </w:trPr>
        <w:tc>
          <w:tcPr>
            <w:tcW w:w="1500" w:type="dxa"/>
            <w:noWrap/>
          </w:tcPr>
          <w:p>
            <w:pPr>
              <w:pStyle w:val="no_space_after"/>
            </w:pPr>
            <w:r>
              <w:rPr>
                <w:rStyle w:val="verdana_9"/>
              </w:rPr>
              <w:t xml:space="preserve">4.6</w:t>
            </w:r>
          </w:p>
        </w:tc>
        <w:tc>
          <w:tcPr>
            <w:tcW w:w="3000" w:type="dxa"/>
            <w:noWrap/>
          </w:tcPr>
          <w:p>
            <w:pPr>
              <w:pStyle w:val="no_space_after"/>
            </w:pPr>
            <w:r>
              <w:rPr>
                <w:rStyle w:val="verdana_9"/>
              </w:rPr>
              <w:t xml:space="preserve">Procedimientos de recurso o de revisión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Notificaciones de controles o inspecciones reforzados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Tramitación previa a la llegada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Gestión de riesgo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Plazos medios de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Operadores autorizados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Formalidades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Utilización de las normas internacionales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Tránsito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bl>
    <w:p>
      <w:pPr/>
      <w:r>
        <w:rPr/>
        <w:t xml:space="preserve"/>
      </w:r>
    </w:p>
    <w:p>
      <w:hyperlink r:id="rId36" w:history="1">
        <w:r>
          <w:rPr>
            <w:rStyle w:val="verdana_9_bold"/>
          </w:rPr>
          <w:t xml:space="preserve">Lesotho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Tramitación previa a la llegada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Plazos medios de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Cooperación aduanera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bl>
    <w:p>
      <w:pPr/>
      <w:r>
        <w:rPr/>
        <w:t xml:space="preserve"/>
      </w:r>
    </w:p>
    <w:p>
      <w:hyperlink r:id="rId37" w:history="1">
        <w:r>
          <w:rPr>
            <w:rStyle w:val="verdana_9_bold"/>
          </w:rPr>
          <w:t xml:space="preserve">Madagascar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Observaciones e información antes de la entrada en vigor</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bl>
    <w:p>
      <w:pPr/>
      <w:r>
        <w:rPr/>
        <w:t xml:space="preserve"/>
      </w:r>
    </w:p>
    <w:p>
      <w:hyperlink r:id="rId38" w:history="1">
        <w:r>
          <w:rPr>
            <w:rStyle w:val="verdana_9_bold"/>
          </w:rPr>
          <w:t xml:space="preserve">Malawi</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Resoluciones anticipadas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febrero 2026</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Procedimientos de recurso o de revisión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febrero 2026</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Plazos medios de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febrero 2026</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Operadores autorizados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febrero 2026</w:t>
            </w:r>
          </w:p>
        </w:tc>
      </w:tr>
      <w:tr>
        <w:trPr>
          <w:cantSplit w:val="1"/>
        </w:trPr>
        <w:tc>
          <w:tcPr>
            <w:tcW w:w="1500" w:type="dxa"/>
            <w:noWrap/>
          </w:tcPr>
          <w:p>
            <w:pPr>
              <w:pStyle w:val="no_space_after"/>
            </w:pPr>
            <w:r>
              <w:rPr>
                <w:rStyle w:val="verdana_9"/>
              </w:rPr>
              <w:t xml:space="preserve">8.2</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febrero 2026</w:t>
            </w:r>
          </w:p>
        </w:tc>
      </w:tr>
    </w:tbl>
    <w:p>
      <w:pPr/>
      <w:r>
        <w:rPr/>
        <w:t xml:space="preserve"/>
      </w:r>
    </w:p>
    <w:p>
      <w:hyperlink r:id="rId39" w:history="1">
        <w:r>
          <w:rPr>
            <w:rStyle w:val="verdana_9_bold"/>
          </w:rPr>
          <w:t xml:space="preserve">Maldivas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Publicación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Información disponible por medio de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Observaciones e información antes de la entrada en vigor</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Notificaciones de controles o inspecciones reforzados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diciembre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Disciplinas generales en materia de derechos y cargas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Separación del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diciembre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Plazos medios de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Envíos urgentes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Utilización de las normas internacionales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10.9</w:t>
            </w:r>
          </w:p>
        </w:tc>
        <w:tc>
          <w:tcPr>
            <w:tcW w:w="3000" w:type="dxa"/>
            <w:noWrap/>
          </w:tcPr>
          <w:p>
            <w:pPr>
              <w:pStyle w:val="no_space_after"/>
            </w:pPr>
            <w:r>
              <w:rPr>
                <w:rStyle w:val="verdana_9"/>
              </w:rPr>
              <w:t xml:space="preserve">Admisión temporal de mercancías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bl>
    <w:p>
      <w:pPr/>
      <w:r>
        <w:rPr/>
        <w:t xml:space="preserve"/>
      </w:r>
    </w:p>
    <w:p>
      <w:hyperlink r:id="rId40" w:history="1">
        <w:r>
          <w:rPr>
            <w:rStyle w:val="verdana_9_bold"/>
          </w:rPr>
          <w:t xml:space="preserve">Malí</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Información disponible por medio de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Servicios de información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Tramitación previa a la llegada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Gestión de riesgo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Mercancías perecederas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bl>
    <w:p>
      <w:pPr/>
      <w:r>
        <w:rPr/>
        <w:t xml:space="preserve"/>
      </w:r>
    </w:p>
    <w:p>
      <w:hyperlink r:id="rId41" w:history="1">
        <w:r>
          <w:rPr>
            <w:rStyle w:val="verdana_9_bold"/>
          </w:rPr>
          <w:t xml:space="preserve">Mauricio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Servicios de información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febrero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Gestión de riesgo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febrero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febrero 2026</w:t>
            </w:r>
          </w:p>
        </w:tc>
      </w:tr>
    </w:tbl>
    <w:p>
      <w:pPr/>
      <w:r>
        <w:rPr/>
        <w:t xml:space="preserve"/>
      </w:r>
    </w:p>
    <w:p>
      <w:hyperlink r:id="rId42" w:history="1">
        <w:r>
          <w:rPr>
            <w:rStyle w:val="verdana_9_bold"/>
          </w:rPr>
          <w:t xml:space="preserve">Mongolia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bl>
    <w:p>
      <w:pPr/>
      <w:r>
        <w:rPr/>
        <w:t xml:space="preserve"/>
      </w:r>
    </w:p>
    <w:p>
      <w:hyperlink r:id="rId43" w:history="1">
        <w:r>
          <w:rPr>
            <w:rStyle w:val="verdana_9_bold"/>
          </w:rPr>
          <w:t xml:space="preserve">Myanmar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Envíos urgentes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10.3.1, 10.3.2</w:t>
            </w:r>
          </w:p>
        </w:tc>
        <w:tc>
          <w:tcPr>
            <w:tcW w:w="3000" w:type="dxa"/>
            <w:noWrap/>
          </w:tcPr>
          <w:p>
            <w:pPr>
              <w:pStyle w:val="no_space_after"/>
            </w:pPr>
            <w:r>
              <w:rPr>
                <w:rStyle w:val="verdana_9"/>
              </w:rPr>
              <w:t xml:space="preserve">Utilización de las normas internacionales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11</w:t>
            </w:r>
          </w:p>
        </w:tc>
        <w:tc>
          <w:tcPr>
            <w:tcW w:w="3000" w:type="dxa"/>
            <w:noWrap/>
          </w:tcPr>
          <w:p>
            <w:pPr>
              <w:pStyle w:val="no_space_after"/>
            </w:pPr>
            <w:r>
              <w:rPr>
                <w:rStyle w:val="verdana_9"/>
              </w:rPr>
              <w:t xml:space="preserve">Tránsito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bl>
    <w:p>
      <w:pPr/>
      <w:r>
        <w:rPr/>
        <w:t xml:space="preserve"/>
      </w:r>
    </w:p>
    <w:p>
      <w:hyperlink r:id="rId44" w:history="1">
        <w:r>
          <w:rPr>
            <w:rStyle w:val="verdana_9_bold"/>
          </w:rPr>
          <w:t xml:space="preserve">Namibia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Disciplinas generales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diciembre 2026</w:t>
            </w:r>
          </w:p>
        </w:tc>
      </w:tr>
    </w:tbl>
    <w:p>
      <w:pPr/>
      <w:r>
        <w:rPr/>
        <w:t xml:space="preserve"/>
      </w:r>
    </w:p>
    <w:p>
      <w:hyperlink r:id="rId45" w:history="1">
        <w:r>
          <w:rPr>
            <w:rStyle w:val="verdana_9_bold"/>
          </w:rPr>
          <w:t xml:space="preserve">Nepal</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Procedimientos de recurso o de revisión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Tramitación previa a la llegada</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Operadores autorizados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Formalidades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10.7</w:t>
            </w:r>
          </w:p>
        </w:tc>
        <w:tc>
          <w:tcPr>
            <w:tcW w:w="3000" w:type="dxa"/>
            <w:noWrap/>
          </w:tcPr>
          <w:p>
            <w:pPr>
              <w:pStyle w:val="no_space_after"/>
            </w:pPr>
            <w:r>
              <w:rPr>
                <w:rStyle w:val="verdana_9"/>
              </w:rPr>
              <w:t xml:space="preserve">Procedimientos en frontera comunes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bl>
    <w:p>
      <w:pPr/>
      <w:r>
        <w:rPr/>
        <w:t xml:space="preserve"/>
      </w:r>
    </w:p>
    <w:p>
      <w:hyperlink r:id="rId46" w:history="1">
        <w:r>
          <w:rPr>
            <w:rStyle w:val="verdana_9_bold"/>
          </w:rPr>
          <w:t xml:space="preserve">Nicaragua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Servicios de información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junio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22 junio 2027</w:t>
            </w:r>
          </w:p>
        </w:tc>
      </w:tr>
    </w:tbl>
    <w:p>
      <w:pPr/>
      <w:r>
        <w:rPr/>
        <w:t xml:space="preserve"/>
      </w:r>
    </w:p>
    <w:p>
      <w:hyperlink r:id="rId47" w:history="1">
        <w:r>
          <w:rPr>
            <w:rStyle w:val="verdana_9_bold"/>
          </w:rPr>
          <w:t xml:space="preserve">Níger</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Pago electrónico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Gestión de riesgo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Plazos medios de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10.2</w:t>
            </w:r>
          </w:p>
        </w:tc>
        <w:tc>
          <w:tcPr>
            <w:tcW w:w="3000" w:type="dxa"/>
            <w:noWrap/>
          </w:tcPr>
          <w:p>
            <w:pPr>
              <w:pStyle w:val="no_space_after"/>
            </w:pPr>
            <w:r>
              <w:rPr>
                <w:rStyle w:val="verdana_9"/>
              </w:rPr>
              <w:t xml:space="preserve">Aceptación de copias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2027</w:t>
            </w:r>
          </w:p>
        </w:tc>
      </w:tr>
    </w:tbl>
    <w:p>
      <w:pPr/>
      <w:r>
        <w:rPr/>
        <w:t xml:space="preserve"/>
      </w:r>
    </w:p>
    <w:p>
      <w:hyperlink r:id="rId48" w:history="1">
        <w:r>
          <w:rPr>
            <w:rStyle w:val="verdana_9_bold"/>
          </w:rPr>
          <w:t xml:space="preserve">Pakistán</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bl>
    <w:p>
      <w:pPr/>
      <w:r>
        <w:rPr/>
        <w:t xml:space="preserve"/>
      </w:r>
    </w:p>
    <w:p>
      <w:hyperlink r:id="rId49" w:history="1">
        <w:r>
          <w:rPr>
            <w:rStyle w:val="verdana_9_bold"/>
          </w:rPr>
          <w:t xml:space="preserve">Papua Nueva Guinea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Operadores autorizados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Cooperación aduanera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bl>
    <w:p>
      <w:pPr/>
      <w:r>
        <w:rPr/>
        <w:t xml:space="preserve"/>
      </w:r>
    </w:p>
    <w:p>
      <w:hyperlink r:id="rId50" w:history="1">
        <w:r>
          <w:rPr>
            <w:rStyle w:val="verdana_9_bold"/>
          </w:rPr>
          <w:t xml:space="preserve">Paraguay</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septiembre 2027</w:t>
            </w:r>
          </w:p>
        </w:tc>
      </w:tr>
    </w:tbl>
    <w:p>
      <w:pPr/>
      <w:r>
        <w:rPr/>
        <w:t xml:space="preserve"/>
      </w:r>
    </w:p>
    <w:p>
      <w:hyperlink r:id="rId51" w:history="1">
        <w:r>
          <w:rPr>
            <w:rStyle w:val="verdana_9_bold"/>
          </w:rPr>
          <w:t xml:space="preserve">Perú</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Notificaciones de controles o inspecciones reforzados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bl>
    <w:p>
      <w:pPr/>
      <w:r>
        <w:rPr/>
        <w:t xml:space="preserve"/>
      </w:r>
    </w:p>
    <w:p>
      <w:hyperlink r:id="rId52" w:history="1">
        <w:r>
          <w:rPr>
            <w:rStyle w:val="verdana_9_bold"/>
          </w:rPr>
          <w:t xml:space="preserve">Rwanda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1.3</w:t>
            </w:r>
          </w:p>
        </w:tc>
        <w:tc>
          <w:tcPr>
            <w:tcW w:w="3000" w:type="dxa"/>
            <w:noWrap/>
          </w:tcPr>
          <w:p>
            <w:pPr>
              <w:pStyle w:val="no_space_after"/>
            </w:pPr>
            <w:r>
              <w:rPr>
                <w:rStyle w:val="verdana_9"/>
              </w:rPr>
              <w:t xml:space="preserve">Servicios de información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agosto 2026</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agosto 2026</w:t>
            </w:r>
          </w:p>
        </w:tc>
      </w:tr>
    </w:tbl>
    <w:p>
      <w:pPr/>
      <w:r>
        <w:rPr/>
        <w:t xml:space="preserve"/>
      </w:r>
    </w:p>
    <w:p>
      <w:hyperlink r:id="rId53" w:history="1">
        <w:r>
          <w:rPr>
            <w:rStyle w:val="verdana_9_bold"/>
          </w:rPr>
          <w:t xml:space="preserve">Santa Lucía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Notificaciones de controles o inspecciones reforzados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Operadores autorizados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29 diciembre 2026</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Mercancías perecederas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diciembre 2026</w:t>
            </w:r>
          </w:p>
        </w:tc>
      </w:tr>
      <w:tr>
        <w:trPr>
          <w:cantSplit w:val="1"/>
        </w:trPr>
        <w:tc>
          <w:tcPr>
            <w:tcW w:w="1500" w:type="dxa"/>
            <w:noWrap/>
          </w:tcPr>
          <w:p>
            <w:pPr>
              <w:pStyle w:val="no_space_after"/>
            </w:pPr>
            <w:r>
              <w:rPr>
                <w:rStyle w:val="verdana_9"/>
              </w:rPr>
              <w:t xml:space="preserve">10.8</w:t>
            </w:r>
          </w:p>
        </w:tc>
        <w:tc>
          <w:tcPr>
            <w:tcW w:w="3000" w:type="dxa"/>
            <w:noWrap/>
          </w:tcPr>
          <w:p>
            <w:pPr>
              <w:pStyle w:val="no_space_after"/>
            </w:pPr>
            <w:r>
              <w:rPr>
                <w:rStyle w:val="verdana_9"/>
              </w:rPr>
              <w:t xml:space="preserve">Mercancías rechazadas</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bl>
    <w:p>
      <w:pPr/>
      <w:r>
        <w:rPr/>
        <w:t xml:space="preserve"/>
      </w:r>
    </w:p>
    <w:p>
      <w:hyperlink r:id="rId54" w:history="1">
        <w:r>
          <w:rPr>
            <w:rStyle w:val="verdana_9_bold"/>
          </w:rPr>
          <w:t xml:space="preserve">San Vicente y las Granadinas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Observaciones e información antes de la entrada en vigor</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2.2</w:t>
            </w:r>
          </w:p>
        </w:tc>
        <w:tc>
          <w:tcPr>
            <w:tcW w:w="3000" w:type="dxa"/>
            <w:noWrap/>
          </w:tcPr>
          <w:p>
            <w:pPr>
              <w:pStyle w:val="no_space_after"/>
            </w:pPr>
            <w:r>
              <w:rPr>
                <w:rStyle w:val="verdana_9"/>
              </w:rPr>
              <w:t xml:space="preserve">Consultas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Resoluciones anticipadas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Plazos medios de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bl>
    <w:p>
      <w:pPr/>
      <w:r>
        <w:rPr/>
        <w:t xml:space="preserve"/>
      </w:r>
    </w:p>
    <w:p>
      <w:hyperlink r:id="rId55" w:history="1">
        <w:r>
          <w:rPr>
            <w:rStyle w:val="verdana_9_bold"/>
          </w:rPr>
          <w:t xml:space="preserve">Samoa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Procedimientos de recurso o de revisión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Pago electrónico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Gestión de riesgo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Auditoría posterior al despacho de aduana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Operadores autorizados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Envíos urgentes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10.1.1</w:t>
            </w:r>
          </w:p>
        </w:tc>
        <w:tc>
          <w:tcPr>
            <w:tcW w:w="3000" w:type="dxa"/>
            <w:noWrap/>
          </w:tcPr>
          <w:p>
            <w:pPr>
              <w:pStyle w:val="no_space_after"/>
            </w:pPr>
            <w:r>
              <w:rPr>
                <w:rStyle w:val="verdana_9"/>
              </w:rPr>
              <w:t xml:space="preserve">Formalidades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bl>
    <w:p>
      <w:pPr/>
      <w:r>
        <w:rPr/>
        <w:t xml:space="preserve"/>
      </w:r>
    </w:p>
    <w:p>
      <w:hyperlink r:id="rId56" w:history="1">
        <w:r>
          <w:rPr>
            <w:rStyle w:val="verdana_9_bold"/>
          </w:rPr>
          <w:t xml:space="preserve">Senegal</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Resoluciones anticipadas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Auditoría posterior al despacho de aduana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bl>
    <w:p>
      <w:pPr/>
      <w:r>
        <w:rPr/>
        <w:t xml:space="preserve"/>
      </w:r>
    </w:p>
    <w:p>
      <w:hyperlink r:id="rId57" w:history="1">
        <w:r>
          <w:rPr>
            <w:rStyle w:val="verdana_9_bold"/>
          </w:rPr>
          <w:t xml:space="preserve">Seychelles</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30 junio 2027</w:t>
            </w:r>
          </w:p>
        </w:tc>
      </w:tr>
    </w:tbl>
    <w:p>
      <w:pPr/>
      <w:r>
        <w:rPr/>
        <w:t xml:space="preserve"/>
      </w:r>
    </w:p>
    <w:p>
      <w:hyperlink r:id="rId58" w:history="1">
        <w:r>
          <w:rPr>
            <w:rStyle w:val="verdana_9_bold"/>
          </w:rPr>
          <w:t xml:space="preserve">Sierra Leona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Pago electrónico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bl>
    <w:p>
      <w:pPr/>
      <w:r>
        <w:rPr/>
        <w:t xml:space="preserve"/>
      </w:r>
    </w:p>
    <w:p>
      <w:hyperlink r:id="rId59" w:history="1">
        <w:r>
          <w:rPr>
            <w:rStyle w:val="verdana_9_bold"/>
          </w:rPr>
          <w:t xml:space="preserve">Timor Oriental</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Procedimientos de recurso o de revisión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6.3</w:t>
            </w:r>
          </w:p>
        </w:tc>
        <w:tc>
          <w:tcPr>
            <w:tcW w:w="3000" w:type="dxa"/>
            <w:noWrap/>
          </w:tcPr>
          <w:p>
            <w:pPr>
              <w:pStyle w:val="no_space_after"/>
            </w:pPr>
            <w:r>
              <w:rPr>
                <w:rStyle w:val="verdana_9"/>
              </w:rPr>
              <w:t xml:space="preserve">Disciplinas en materia de sanciones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Gestión de riesgo</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Auditoría posterior al despacho de aduana</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31 diciembre 2026</w:t>
            </w:r>
          </w:p>
        </w:tc>
      </w:tr>
    </w:tbl>
    <w:p>
      <w:pPr/>
      <w:r>
        <w:rPr/>
        <w:t xml:space="preserve"/>
      </w:r>
    </w:p>
    <w:p>
      <w:hyperlink r:id="rId60" w:history="1">
        <w:r>
          <w:rPr>
            <w:rStyle w:val="verdana_9_bold"/>
          </w:rPr>
          <w:t xml:space="preserve">Togo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Procedimientos de recurso o de revisión</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junio 2027</w:t>
            </w:r>
          </w:p>
        </w:tc>
      </w:tr>
      <w:tr>
        <w:trPr>
          <w:cantSplit w:val="1"/>
        </w:trPr>
        <w:tc>
          <w:tcPr>
            <w:tcW w:w="1500" w:type="dxa"/>
            <w:noWrap/>
          </w:tcPr>
          <w:p>
            <w:pPr>
              <w:pStyle w:val="no_space_after"/>
            </w:pPr>
            <w:r>
              <w:rPr>
                <w:rStyle w:val="verdana_9"/>
              </w:rPr>
              <w:t xml:space="preserve">10.4</w:t>
            </w:r>
          </w:p>
        </w:tc>
        <w:tc>
          <w:tcPr>
            <w:tcW w:w="3000" w:type="dxa"/>
            <w:noWrap/>
          </w:tcPr>
          <w:p>
            <w:pPr>
              <w:pStyle w:val="no_space_after"/>
            </w:pPr>
            <w:r>
              <w:rPr>
                <w:rStyle w:val="verdana_9"/>
              </w:rPr>
              <w:t xml:space="preserve">Ventanilla única</w:t>
            </w:r>
          </w:p>
        </w:tc>
        <w:tc>
          <w:tcPr>
            <w:tcW w:w="1250" w:type="dxa"/>
            <w:noWrap/>
          </w:tcPr>
          <w:p>
            <w:pPr>
              <w:pStyle w:val="no_space_after"/>
            </w:pPr>
            <w:r>
              <w:rPr>
                <w:rStyle w:val="verdana_9"/>
              </w:rPr>
              <w:t xml:space="preserve">B</w:t>
            </w:r>
          </w:p>
        </w:tc>
        <w:tc>
          <w:tcPr>
            <w:tcW w:w="3500" w:type="dxa"/>
            <w:noWrap/>
          </w:tcPr>
          <w:p>
            <w:pPr>
              <w:pStyle w:val="no_space_after"/>
            </w:pPr>
            <w:r>
              <w:rPr>
                <w:rStyle w:val="verdana_9"/>
              </w:rPr>
              <w:t xml:space="preserve">30 junio 2027</w:t>
            </w:r>
          </w:p>
        </w:tc>
      </w:tr>
    </w:tbl>
    <w:p>
      <w:pPr/>
      <w:r>
        <w:rPr/>
        <w:t xml:space="preserve"/>
      </w:r>
    </w:p>
    <w:p>
      <w:hyperlink r:id="rId61" w:history="1">
        <w:r>
          <w:rPr>
            <w:rStyle w:val="verdana_9_bold"/>
          </w:rPr>
          <w:t xml:space="preserve">Trinidad y Tabago</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1.1.1</w:t>
            </w:r>
          </w:p>
        </w:tc>
        <w:tc>
          <w:tcPr>
            <w:tcW w:w="3000" w:type="dxa"/>
            <w:noWrap/>
          </w:tcPr>
          <w:p>
            <w:pPr>
              <w:pStyle w:val="no_space_after"/>
            </w:pPr>
            <w:r>
              <w:rPr>
                <w:rStyle w:val="verdana_9"/>
              </w:rPr>
              <w:t xml:space="preserve">Publicación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1.2</w:t>
            </w:r>
          </w:p>
        </w:tc>
        <w:tc>
          <w:tcPr>
            <w:tcW w:w="3000" w:type="dxa"/>
            <w:noWrap/>
          </w:tcPr>
          <w:p>
            <w:pPr>
              <w:pStyle w:val="no_space_after"/>
            </w:pPr>
            <w:r>
              <w:rPr>
                <w:rStyle w:val="verdana_9"/>
              </w:rPr>
              <w:t xml:space="preserve">Información disponible por medio de Internet</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2.1</w:t>
            </w:r>
          </w:p>
        </w:tc>
        <w:tc>
          <w:tcPr>
            <w:tcW w:w="3000" w:type="dxa"/>
            <w:noWrap/>
          </w:tcPr>
          <w:p>
            <w:pPr>
              <w:pStyle w:val="no_space_after"/>
            </w:pPr>
            <w:r>
              <w:rPr>
                <w:rStyle w:val="verdana_9"/>
              </w:rPr>
              <w:t xml:space="preserve">Observaciones e información antes de la entrada en vigor</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3</w:t>
            </w:r>
          </w:p>
        </w:tc>
        <w:tc>
          <w:tcPr>
            <w:tcW w:w="3000" w:type="dxa"/>
            <w:noWrap/>
          </w:tcPr>
          <w:p>
            <w:pPr>
              <w:pStyle w:val="no_space_after"/>
            </w:pPr>
            <w:r>
              <w:rPr>
                <w:rStyle w:val="verdana_9"/>
              </w:rPr>
              <w:t xml:space="preserve">Resoluciones anticipadas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4</w:t>
            </w:r>
          </w:p>
        </w:tc>
        <w:tc>
          <w:tcPr>
            <w:tcW w:w="3000" w:type="dxa"/>
            <w:noWrap/>
          </w:tcPr>
          <w:p>
            <w:pPr>
              <w:pStyle w:val="no_space_after"/>
            </w:pPr>
            <w:r>
              <w:rPr>
                <w:rStyle w:val="verdana_9"/>
              </w:rPr>
              <w:t xml:space="preserve">Procedimientos de recurso o de revisión</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5.1</w:t>
            </w:r>
          </w:p>
        </w:tc>
        <w:tc>
          <w:tcPr>
            <w:tcW w:w="3000" w:type="dxa"/>
            <w:noWrap/>
          </w:tcPr>
          <w:p>
            <w:pPr>
              <w:pStyle w:val="no_space_after"/>
            </w:pPr>
            <w:r>
              <w:rPr>
                <w:rStyle w:val="verdana_9"/>
              </w:rPr>
              <w:t xml:space="preserve">Notificaciones de controles o inspecciones reforzados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6.1</w:t>
            </w:r>
          </w:p>
        </w:tc>
        <w:tc>
          <w:tcPr>
            <w:tcW w:w="3000" w:type="dxa"/>
            <w:noWrap/>
          </w:tcPr>
          <w:p>
            <w:pPr>
              <w:pStyle w:val="no_space_after"/>
            </w:pPr>
            <w:r>
              <w:rPr>
                <w:rStyle w:val="verdana_9"/>
              </w:rPr>
              <w:t xml:space="preserve">Disciplinas generales en materia de derechos y cargas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7.2</w:t>
            </w:r>
          </w:p>
        </w:tc>
        <w:tc>
          <w:tcPr>
            <w:tcW w:w="3000" w:type="dxa"/>
            <w:noWrap/>
          </w:tcPr>
          <w:p>
            <w:pPr>
              <w:pStyle w:val="no_space_after"/>
            </w:pPr>
            <w:r>
              <w:rPr>
                <w:rStyle w:val="verdana_9"/>
              </w:rPr>
              <w:t xml:space="preserve">Pago electrónico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7.3</w:t>
            </w:r>
          </w:p>
        </w:tc>
        <w:tc>
          <w:tcPr>
            <w:tcW w:w="3000" w:type="dxa"/>
            <w:noWrap/>
          </w:tcPr>
          <w:p>
            <w:pPr>
              <w:pStyle w:val="no_space_after"/>
            </w:pPr>
            <w:r>
              <w:rPr>
                <w:rStyle w:val="verdana_9"/>
              </w:rPr>
              <w:t xml:space="preserve">Separación del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Gestión de riesgo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Auditoría posterior al despacho de aduana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7.7</w:t>
            </w:r>
          </w:p>
        </w:tc>
        <w:tc>
          <w:tcPr>
            <w:tcW w:w="3000" w:type="dxa"/>
            <w:noWrap/>
          </w:tcPr>
          <w:p>
            <w:pPr>
              <w:pStyle w:val="no_space_after"/>
            </w:pPr>
            <w:r>
              <w:rPr>
                <w:rStyle w:val="verdana_9"/>
              </w:rPr>
              <w:t xml:space="preserve">Operadores autorizados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7.8</w:t>
            </w:r>
          </w:p>
        </w:tc>
        <w:tc>
          <w:tcPr>
            <w:tcW w:w="3000" w:type="dxa"/>
            <w:noWrap/>
          </w:tcPr>
          <w:p>
            <w:pPr>
              <w:pStyle w:val="no_space_after"/>
            </w:pPr>
            <w:r>
              <w:rPr>
                <w:rStyle w:val="verdana_9"/>
              </w:rPr>
              <w:t xml:space="preserve">Envíos urgentes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12.8, 12.9, 12.11</w:t>
            </w:r>
          </w:p>
        </w:tc>
        <w:tc>
          <w:tcPr>
            <w:tcW w:w="3000" w:type="dxa"/>
            <w:noWrap/>
          </w:tcPr>
          <w:p>
            <w:pPr>
              <w:pStyle w:val="no_space_after"/>
            </w:pPr>
            <w:r>
              <w:rPr>
                <w:rStyle w:val="verdana_9"/>
              </w:rPr>
              <w:t xml:space="preserve">Cooperación aduanera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bl>
    <w:p>
      <w:pPr/>
      <w:r>
        <w:rPr/>
        <w:t xml:space="preserve"/>
      </w:r>
    </w:p>
    <w:p>
      <w:hyperlink r:id="rId62" w:history="1">
        <w:r>
          <w:rPr>
            <w:rStyle w:val="verdana_9_bold"/>
          </w:rPr>
          <w:t xml:space="preserve">Uganda</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7.1</w:t>
            </w:r>
          </w:p>
        </w:tc>
        <w:tc>
          <w:tcPr>
            <w:tcW w:w="3000" w:type="dxa"/>
            <w:noWrap/>
          </w:tcPr>
          <w:p>
            <w:pPr>
              <w:pStyle w:val="no_space_after"/>
            </w:pPr>
            <w:r>
              <w:rPr>
                <w:rStyle w:val="verdana_9"/>
              </w:rPr>
              <w:t xml:space="preserve">Tramitación previa a la llegada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julio 2026</w:t>
            </w:r>
          </w:p>
        </w:tc>
      </w:tr>
      <w:tr>
        <w:trPr>
          <w:cantSplit w:val="1"/>
        </w:trPr>
        <w:tc>
          <w:tcPr>
            <w:tcW w:w="1500" w:type="dxa"/>
            <w:noWrap/>
          </w:tcPr>
          <w:p>
            <w:pPr>
              <w:pStyle w:val="no_space_after"/>
            </w:pPr>
            <w:r>
              <w:rPr>
                <w:rStyle w:val="verdana_9"/>
              </w:rPr>
              <w:t xml:space="preserve">7.4</w:t>
            </w:r>
          </w:p>
        </w:tc>
        <w:tc>
          <w:tcPr>
            <w:tcW w:w="3000" w:type="dxa"/>
            <w:noWrap/>
          </w:tcPr>
          <w:p>
            <w:pPr>
              <w:pStyle w:val="no_space_after"/>
            </w:pPr>
            <w:r>
              <w:rPr>
                <w:rStyle w:val="verdana_9"/>
              </w:rPr>
              <w:t xml:space="preserve">Gestión de riesgo</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julio 2026</w:t>
            </w:r>
          </w:p>
        </w:tc>
      </w:tr>
      <w:tr>
        <w:trPr>
          <w:cantSplit w:val="1"/>
        </w:trPr>
        <w:tc>
          <w:tcPr>
            <w:tcW w:w="1500" w:type="dxa"/>
            <w:noWrap/>
          </w:tcPr>
          <w:p>
            <w:pPr>
              <w:pStyle w:val="no_space_after"/>
            </w:pPr>
            <w:r>
              <w:rPr>
                <w:rStyle w:val="verdana_9"/>
              </w:rPr>
              <w:t xml:space="preserve">7.9</w:t>
            </w:r>
          </w:p>
        </w:tc>
        <w:tc>
          <w:tcPr>
            <w:tcW w:w="3000" w:type="dxa"/>
            <w:noWrap/>
          </w:tcPr>
          <w:p>
            <w:pPr>
              <w:pStyle w:val="no_space_after"/>
            </w:pPr>
            <w:r>
              <w:rPr>
                <w:rStyle w:val="verdana_9"/>
              </w:rPr>
              <w:t xml:space="preserve">Mercancías perecederas</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julio 2026</w:t>
            </w:r>
          </w:p>
        </w:tc>
      </w:tr>
      <w:tr>
        <w:trPr>
          <w:cantSplit w:val="1"/>
        </w:trPr>
        <w:tc>
          <w:tcPr>
            <w:tcW w:w="1500" w:type="dxa"/>
            <w:noWrap/>
          </w:tcPr>
          <w:p>
            <w:pPr>
              <w:pStyle w:val="no_space_after"/>
            </w:pPr>
            <w:r>
              <w:rPr>
                <w:rStyle w:val="verdana_9"/>
              </w:rPr>
              <w:t xml:space="preserve">8</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1 julio 2026</w:t>
            </w:r>
          </w:p>
        </w:tc>
      </w:tr>
    </w:tbl>
    <w:p>
      <w:pPr/>
      <w:r>
        <w:rPr/>
        <w:t xml:space="preserve"/>
      </w:r>
    </w:p>
    <w:p>
      <w:hyperlink r:id="rId63" w:history="1">
        <w:r>
          <w:rPr>
            <w:rStyle w:val="verdana_9_bold"/>
          </w:rPr>
          <w:t xml:space="preserve">Zimbabwe</w:t>
        </w:r>
      </w:hyperlink>
    </w:p>
    <w:tbl>
      <w:tblGrid>
        <w:gridCol w:w="1500" w:type="dxa"/>
        <w:gridCol w:w="3000" w:type="dxa"/>
        <w:gridCol w:w="1250" w:type="dxa"/>
        <w:gridCol w:w="3500" w:type="dxa"/>
      </w:tblGrid>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1500" w:type="dxa"/>
            <w:noWrap/>
          </w:tcPr>
          <w:p>
            <w:pPr>
              <w:pStyle w:val="no_space_after"/>
            </w:pPr>
            <w:r>
              <w:rPr>
                <w:rStyle w:val="verdana_9_bold"/>
              </w:rPr>
              <w:t xml:space="preserve">Article</w:t>
            </w:r>
          </w:p>
        </w:tc>
        <w:tc>
          <w:tcPr>
            <w:tcW w:w="3000" w:type="dxa"/>
            <w:noWrap/>
          </w:tcPr>
          <w:p>
            <w:pPr>
              <w:pStyle w:val="no_space_after"/>
            </w:pPr>
            <w:r>
              <w:rPr>
                <w:rStyle w:val="verdana_9_bold"/>
              </w:rPr>
              <w:t xml:space="preserve">Measure name</w:t>
            </w:r>
          </w:p>
        </w:tc>
        <w:tc>
          <w:tcPr>
            <w:tcW w:w="1250" w:type="dxa"/>
            <w:noWrap/>
          </w:tcPr>
          <w:p>
            <w:pPr>
              <w:pStyle w:val="no_space_after"/>
            </w:pPr>
            <w:r>
              <w:rPr>
                <w:rStyle w:val="verdana_9_bold"/>
              </w:rPr>
              <w:t xml:space="preserve">Category</w:t>
            </w:r>
          </w:p>
        </w:tc>
        <w:tc>
          <w:tcPr>
            <w:tcW w:w="3500" w:type="dxa"/>
            <w:noWrap/>
          </w:tcPr>
          <w:p>
            <w:pPr>
              <w:pStyle w:val="no_space_after"/>
            </w:pPr>
            <w:r>
              <w:rPr>
                <w:rStyle w:val="verdana_9_bold"/>
              </w:rPr>
              <w:t xml:space="preserve">Definitive implementation date</w:t>
            </w:r>
          </w:p>
        </w:tc>
      </w:tr>
      <w:tr>
        <w:trPr>
          <w:cantSplit w:val="1"/>
        </w:trPr>
        <w:tc>
          <w:tcPr>
            <w:tcW w:w="1500" w:type="dxa"/>
            <w:noWrap/>
          </w:tcPr>
          <w:p>
            <w:pPr>
              <w:pStyle w:val="no_space_after"/>
            </w:pPr>
            <w:r>
              <w:rPr>
                <w:rStyle w:val="verdana_9"/>
              </w:rPr>
              <w:t xml:space="preserve">5.3</w:t>
            </w:r>
          </w:p>
        </w:tc>
        <w:tc>
          <w:tcPr>
            <w:tcW w:w="3000" w:type="dxa"/>
            <w:noWrap/>
          </w:tcPr>
          <w:p>
            <w:pPr>
              <w:pStyle w:val="no_space_after"/>
            </w:pPr>
            <w:r>
              <w:rPr>
                <w:rStyle w:val="verdana_9"/>
              </w:rPr>
              <w:t xml:space="preserve">Procedimientos de prueba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r>
        <w:trPr>
          <w:cantSplit w:val="1"/>
        </w:trPr>
        <w:tc>
          <w:tcPr>
            <w:tcW w:w="1500" w:type="dxa"/>
            <w:noWrap/>
          </w:tcPr>
          <w:p>
            <w:pPr>
              <w:pStyle w:val="no_space_after"/>
            </w:pPr>
            <w:r>
              <w:rPr>
                <w:rStyle w:val="verdana_9"/>
              </w:rPr>
              <w:t xml:space="preserve">7.5</w:t>
            </w:r>
          </w:p>
        </w:tc>
        <w:tc>
          <w:tcPr>
            <w:tcW w:w="3000" w:type="dxa"/>
            <w:noWrap/>
          </w:tcPr>
          <w:p>
            <w:pPr>
              <w:pStyle w:val="no_space_after"/>
            </w:pPr>
            <w:r>
              <w:rPr>
                <w:rStyle w:val="verdana_9"/>
              </w:rPr>
              <w:t xml:space="preserve">Auditoría posterior al despacho de aduana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7.6</w:t>
            </w:r>
          </w:p>
        </w:tc>
        <w:tc>
          <w:tcPr>
            <w:tcW w:w="3000" w:type="dxa"/>
            <w:noWrap/>
          </w:tcPr>
          <w:p>
            <w:pPr>
              <w:pStyle w:val="no_space_after"/>
            </w:pPr>
            <w:r>
              <w:rPr>
                <w:rStyle w:val="verdana_9"/>
              </w:rPr>
              <w:t xml:space="preserve">Plazos medios de levante</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2027</w:t>
            </w:r>
          </w:p>
        </w:tc>
      </w:tr>
      <w:tr>
        <w:trPr>
          <w:cantSplit w:val="1"/>
        </w:trPr>
        <w:tc>
          <w:tcPr>
            <w:tcW w:w="1500" w:type="dxa"/>
            <w:noWrap/>
          </w:tcPr>
          <w:p>
            <w:pPr>
              <w:pStyle w:val="no_space_after"/>
            </w:pPr>
            <w:r>
              <w:rPr>
                <w:rStyle w:val="verdana_9"/>
              </w:rPr>
              <w:t xml:space="preserve">8.2</w:t>
            </w:r>
          </w:p>
        </w:tc>
        <w:tc>
          <w:tcPr>
            <w:tcW w:w="3000" w:type="dxa"/>
            <w:noWrap/>
          </w:tcPr>
          <w:p>
            <w:pPr>
              <w:pStyle w:val="no_space_after"/>
            </w:pPr>
            <w:r>
              <w:rPr>
                <w:rStyle w:val="verdana_9"/>
              </w:rPr>
              <w:t xml:space="preserve">Cooperación entre los organismos que intervienen en la frontera</w:t>
            </w:r>
          </w:p>
        </w:tc>
        <w:tc>
          <w:tcPr>
            <w:tcW w:w="1250" w:type="dxa"/>
            <w:noWrap/>
          </w:tcPr>
          <w:p>
            <w:pPr>
              <w:pStyle w:val="no_space_after"/>
            </w:pPr>
            <w:r>
              <w:rPr>
                <w:rStyle w:val="verdana_9"/>
              </w:rPr>
              <w:t xml:space="preserve">C</w:t>
            </w:r>
          </w:p>
        </w:tc>
        <w:tc>
          <w:tcPr>
            <w:tcW w:w="3500" w:type="dxa"/>
            <w:noWrap/>
          </w:tcPr>
          <w:p>
            <w:pPr>
              <w:pStyle w:val="no_space_after"/>
            </w:pPr>
            <w:r>
              <w:rPr>
                <w:rStyle w:val="verdana_9"/>
              </w:rPr>
              <w:t xml:space="preserve">31 diciembre 2026</w:t>
            </w:r>
          </w:p>
        </w:tc>
      </w:tr>
    </w:tbl>
    <w:p>
      <w:pPr/>
      <w:r>
        <w:rPr/>
        <w:t xml:space="preserve"/>
      </w:r>
    </w:p>
    <w:p>
      <w:pPr/>
      <w:r>
        <w:rPr/>
        <w:t xml:space="preserve"/>
      </w:r>
    </w:p>
    <w:p>
      <w:pPr/>
      <w:r>
        <w:rPr>
          <w:rStyle w:val="verdana_9"/>
        </w:rPr>
        <w:t xml:space="preserve">Actualizado el 10 octubre 2026</w:t>
      </w:r>
    </w:p>
    <w:p>
      <w:pPr/>
      <w:r>
        <w:pict>
          <v:shape type="#_x0000_t75" stroked="f" style="width:300pt; height:55.661664392906pt; margin-left:0pt; margin-top:0pt; mso-position-horizontal:left; mso-position-vertical:top; mso-position-horizontal-relative:char; mso-position-vertical-relative:line;">
            <w10:wrap type="inline"/>
            <v:imagedata r:id="rId64" o:title=""/>
          </v:shape>
        </w:pict>
      </w:r>
    </w:p>
    <w:p>
      <w:pPr/>
      <w:r>
        <w:rPr/>
        <w:t xml:space="preserve"/>
      </w:r>
    </w:p>
    <w:p>
      <w:pPr/>
      <w:r>
        <w:rPr>
          <w:rStyle w:val="verdana_9"/>
        </w:rPr>
        <w:t xml:space="preserve">Note: whilst every effort is made to ensure the completeness and accuracy of the data released, please note that the processing required to prepare this information is complex due to the interdependence and interlinkages amongst notifications. If you detect any inaccuracies, please inform us by completing this form:</w:t>
      </w:r>
    </w:p>
    <w:p>
      <w:hyperlink r:id="rId65" w:history="1">
        <w:r>
          <w:rPr>
            <w:rStyle w:val="verdana_9_blue"/>
          </w:rPr>
          <w:t xml:space="preserve">https://test.tfadatabase.org/es/contact</w:t>
        </w:r>
      </w:hyperlink>
    </w:p>
    <w:p>
      <w:pPr/>
      <w:r>
        <w:rPr>
          <w:rStyle w:val="verdana_9"/>
        </w:rPr>
        <w:t xml:space="preserve">Any errors will be corrected at the earliest moment possible.</w:t>
      </w:r>
    </w:p>
    <w:p>
      <w:pPr/>
      <w:r>
        <w:rPr>
          <w:rStyle w:val="verdana_9"/>
        </w:rPr>
        <w:t xml:space="preserve">As we frequently update our content to reflect new notifications received, please make sure that you have the latest results by returning to this page.</w:t>
      </w:r>
    </w:p>
    <w:p>
      <w:hyperlink r:id="rId66" w:history="1">
        <w:r>
          <w:rPr>
            <w:rStyle w:val="verdana_9_blue"/>
          </w:rPr>
          <w:t xml:space="preserve">https://test.tfadatabase.org/es/implementation/commitments-due-by-date</w:t>
        </w:r>
      </w:hyperlink>
    </w:p>
    <w:sectPr>
      <w:footerReference w:type="default" r:id="rId67"/>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blue"/>
    <w:rPr>
      <w:rFonts w:ascii="Verdana" w:hAnsi="Verdana" w:eastAsia="Verdana" w:cs="Verdana"/>
      <w:color w:val="0000FF"/>
      <w:sz w:val="18"/>
      <w:szCs w:val="18"/>
      <w:b w:val="0"/>
      <w:bCs w:val="0"/>
    </w:rPr>
  </w:style>
  <w:style w:type="character">
    <w:name w:val="verdana_10"/>
    <w:rPr>
      <w:rFonts w:ascii="Verdana" w:hAnsi="Verdana" w:eastAsia="Verdana" w:cs="Verdana"/>
      <w:sz w:val="20"/>
      <w:szCs w:val="20"/>
      <w:b w:val="0"/>
      <w:bCs w:val="0"/>
    </w:rPr>
  </w:style>
  <w:style w:type="character">
    <w:name w:val="verdana_11_bold"/>
    <w:rPr>
      <w:rFonts w:ascii="Verdana" w:hAnsi="Verdana" w:eastAsia="Verdana" w:cs="Verdana"/>
      <w:sz w:val="22"/>
      <w:szCs w:val="22"/>
      <w:b w:val="1"/>
      <w:bCs w:val="1"/>
    </w:rPr>
  </w:style>
  <w:style w:type="paragraph" w:customStyle="1" w:styleId="no_space_after">
    <w:name w:val="no_space_after"/>
    <w:basedOn w:val="Normal"/>
    <w:pPr>
      <w:spacing w:after="0"/>
    </w:pPr>
  </w:style>
  <w:style w:type="table" w:customStyle="1" w:styleId="HeaderTable">
    <w:name w:val="HeaderTable"/>
    <w:uiPriority w:val="99"/>
    <w:tblPr>
      <w:tblW w:w="0" w:type="auto"/>
      <w:tblLayout w:type="fixed"/>
      <w:tblCellMar>
        <w:top w:w="25" w:type="dxa"/>
        <w:left w:w="100" w:type="dxa"/>
        <w:right w:w="100" w:type="dxa"/>
        <w:bottom w:w="25"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t.tfadatabase.org/es/members/afghanistan/implementation-schedule" TargetMode="External"/><Relationship Id="rId8" Type="http://schemas.openxmlformats.org/officeDocument/2006/relationships/hyperlink" Target="https://test.tfadatabase.org/es/members/angola/implementation-schedule" TargetMode="External"/><Relationship Id="rId9" Type="http://schemas.openxmlformats.org/officeDocument/2006/relationships/hyperlink" Target="https://test.tfadatabase.org/es/members/argentina/implementation-schedule" TargetMode="External"/><Relationship Id="rId10" Type="http://schemas.openxmlformats.org/officeDocument/2006/relationships/hyperlink" Target="https://test.tfadatabase.org/es/members/bangladesh/implementation-schedule" TargetMode="External"/><Relationship Id="rId11" Type="http://schemas.openxmlformats.org/officeDocument/2006/relationships/hyperlink" Target="https://test.tfadatabase.org/es/members/barbados/implementation-schedule" TargetMode="External"/><Relationship Id="rId12" Type="http://schemas.openxmlformats.org/officeDocument/2006/relationships/hyperlink" Target="https://test.tfadatabase.org/es/members/belize/implementation-schedule" TargetMode="External"/><Relationship Id="rId13" Type="http://schemas.openxmlformats.org/officeDocument/2006/relationships/hyperlink" Target="https://test.tfadatabase.org/es/members/botswana/implementation-schedule" TargetMode="External"/><Relationship Id="rId14" Type="http://schemas.openxmlformats.org/officeDocument/2006/relationships/hyperlink" Target="https://test.tfadatabase.org/es/members/burkina-faso/implementation-schedule" TargetMode="External"/><Relationship Id="rId15" Type="http://schemas.openxmlformats.org/officeDocument/2006/relationships/hyperlink" Target="https://test.tfadatabase.org/es/members/burundi/implementation-schedule" TargetMode="External"/><Relationship Id="rId16" Type="http://schemas.openxmlformats.org/officeDocument/2006/relationships/hyperlink" Target="https://test.tfadatabase.org/es/members/cabo-verde/implementation-schedule" TargetMode="External"/><Relationship Id="rId17" Type="http://schemas.openxmlformats.org/officeDocument/2006/relationships/hyperlink" Target="https://test.tfadatabase.org/es/members/central-african-republic/implementation-schedule" TargetMode="External"/><Relationship Id="rId18" Type="http://schemas.openxmlformats.org/officeDocument/2006/relationships/hyperlink" Target="https://test.tfadatabase.org/es/members/chad/implementation-schedule" TargetMode="External"/><Relationship Id="rId19" Type="http://schemas.openxmlformats.org/officeDocument/2006/relationships/hyperlink" Target="https://test.tfadatabase.org/es/members/comoros/implementation-schedule" TargetMode="External"/><Relationship Id="rId20" Type="http://schemas.openxmlformats.org/officeDocument/2006/relationships/hyperlink" Target="https://test.tfadatabase.org/es/members/congo/implementation-schedule" TargetMode="External"/><Relationship Id="rId21" Type="http://schemas.openxmlformats.org/officeDocument/2006/relationships/hyperlink" Target="https://test.tfadatabase.org/es/members/cote-divoire/implementation-schedule" TargetMode="External"/><Relationship Id="rId22" Type="http://schemas.openxmlformats.org/officeDocument/2006/relationships/hyperlink" Target="https://test.tfadatabase.org/es/members/cuba/implementation-schedule" TargetMode="External"/><Relationship Id="rId23" Type="http://schemas.openxmlformats.org/officeDocument/2006/relationships/hyperlink" Target="https://test.tfadatabase.org/es/members/djibouti/implementation-schedule" TargetMode="External"/><Relationship Id="rId24" Type="http://schemas.openxmlformats.org/officeDocument/2006/relationships/hyperlink" Target="https://test.tfadatabase.org/es/members/ecuador/implementation-schedule" TargetMode="External"/><Relationship Id="rId25" Type="http://schemas.openxmlformats.org/officeDocument/2006/relationships/hyperlink" Target="https://test.tfadatabase.org/es/members/egypt/implementation-schedule" TargetMode="External"/><Relationship Id="rId26" Type="http://schemas.openxmlformats.org/officeDocument/2006/relationships/hyperlink" Target="https://test.tfadatabase.org/es/members/el-salvador/implementation-schedule" TargetMode="External"/><Relationship Id="rId27" Type="http://schemas.openxmlformats.org/officeDocument/2006/relationships/hyperlink" Target="https://test.tfadatabase.org/es/members/eswatini/implementation-schedule" TargetMode="External"/><Relationship Id="rId28" Type="http://schemas.openxmlformats.org/officeDocument/2006/relationships/hyperlink" Target="https://test.tfadatabase.org/es/members/gabon/implementation-schedule" TargetMode="External"/><Relationship Id="rId29" Type="http://schemas.openxmlformats.org/officeDocument/2006/relationships/hyperlink" Target="https://test.tfadatabase.org/es/members/gambia-the/implementation-schedule" TargetMode="External"/><Relationship Id="rId30" Type="http://schemas.openxmlformats.org/officeDocument/2006/relationships/hyperlink" Target="https://test.tfadatabase.org/es/members/grenada/implementation-schedule" TargetMode="External"/><Relationship Id="rId31" Type="http://schemas.openxmlformats.org/officeDocument/2006/relationships/hyperlink" Target="https://test.tfadatabase.org/es/members/guatemala/implementation-schedule" TargetMode="External"/><Relationship Id="rId32" Type="http://schemas.openxmlformats.org/officeDocument/2006/relationships/hyperlink" Target="https://test.tfadatabase.org/es/members/guinea/implementation-schedule" TargetMode="External"/><Relationship Id="rId33" Type="http://schemas.openxmlformats.org/officeDocument/2006/relationships/hyperlink" Target="https://test.tfadatabase.org/es/members/guyana/implementation-schedule" TargetMode="External"/><Relationship Id="rId34" Type="http://schemas.openxmlformats.org/officeDocument/2006/relationships/hyperlink" Target="https://test.tfadatabase.org/es/members/honduras/implementation-schedule" TargetMode="External"/><Relationship Id="rId35" Type="http://schemas.openxmlformats.org/officeDocument/2006/relationships/hyperlink" Target="https://test.tfadatabase.org/es/members/kenya/implementation-schedule" TargetMode="External"/><Relationship Id="rId36" Type="http://schemas.openxmlformats.org/officeDocument/2006/relationships/hyperlink" Target="https://test.tfadatabase.org/es/members/lesotho/implementation-schedule" TargetMode="External"/><Relationship Id="rId37" Type="http://schemas.openxmlformats.org/officeDocument/2006/relationships/hyperlink" Target="https://test.tfadatabase.org/es/members/madagascar/implementation-schedule" TargetMode="External"/><Relationship Id="rId38" Type="http://schemas.openxmlformats.org/officeDocument/2006/relationships/hyperlink" Target="https://test.tfadatabase.org/es/members/malawi/implementation-schedule" TargetMode="External"/><Relationship Id="rId39" Type="http://schemas.openxmlformats.org/officeDocument/2006/relationships/hyperlink" Target="https://test.tfadatabase.org/es/members/maldives/implementation-schedule" TargetMode="External"/><Relationship Id="rId40" Type="http://schemas.openxmlformats.org/officeDocument/2006/relationships/hyperlink" Target="https://test.tfadatabase.org/es/members/mali/implementation-schedule" TargetMode="External"/><Relationship Id="rId41" Type="http://schemas.openxmlformats.org/officeDocument/2006/relationships/hyperlink" Target="https://test.tfadatabase.org/es/members/mauritius/implementation-schedule" TargetMode="External"/><Relationship Id="rId42" Type="http://schemas.openxmlformats.org/officeDocument/2006/relationships/hyperlink" Target="https://test.tfadatabase.org/es/members/mongolia/implementation-schedule" TargetMode="External"/><Relationship Id="rId43" Type="http://schemas.openxmlformats.org/officeDocument/2006/relationships/hyperlink" Target="https://test.tfadatabase.org/es/members/myanmar/implementation-schedule" TargetMode="External"/><Relationship Id="rId44" Type="http://schemas.openxmlformats.org/officeDocument/2006/relationships/hyperlink" Target="https://test.tfadatabase.org/es/members/namibia/implementation-schedule" TargetMode="External"/><Relationship Id="rId45" Type="http://schemas.openxmlformats.org/officeDocument/2006/relationships/hyperlink" Target="https://test.tfadatabase.org/es/members/nepal/implementation-schedule" TargetMode="External"/><Relationship Id="rId46" Type="http://schemas.openxmlformats.org/officeDocument/2006/relationships/hyperlink" Target="https://test.tfadatabase.org/es/members/nicaragua/implementation-schedule" TargetMode="External"/><Relationship Id="rId47" Type="http://schemas.openxmlformats.org/officeDocument/2006/relationships/hyperlink" Target="https://test.tfadatabase.org/es/members/niger/implementation-schedule" TargetMode="External"/><Relationship Id="rId48" Type="http://schemas.openxmlformats.org/officeDocument/2006/relationships/hyperlink" Target="https://test.tfadatabase.org/es/members/pakistan/implementation-schedule" TargetMode="External"/><Relationship Id="rId49" Type="http://schemas.openxmlformats.org/officeDocument/2006/relationships/hyperlink" Target="https://test.tfadatabase.org/es/members/papua-new-guinea/implementation-schedule" TargetMode="External"/><Relationship Id="rId50" Type="http://schemas.openxmlformats.org/officeDocument/2006/relationships/hyperlink" Target="https://test.tfadatabase.org/es/members/paraguay/implementation-schedule" TargetMode="External"/><Relationship Id="rId51" Type="http://schemas.openxmlformats.org/officeDocument/2006/relationships/hyperlink" Target="https://test.tfadatabase.org/es/members/peru/implementation-schedule" TargetMode="External"/><Relationship Id="rId52" Type="http://schemas.openxmlformats.org/officeDocument/2006/relationships/hyperlink" Target="https://test.tfadatabase.org/es/members/rwanda/implementation-schedule" TargetMode="External"/><Relationship Id="rId53" Type="http://schemas.openxmlformats.org/officeDocument/2006/relationships/hyperlink" Target="https://test.tfadatabase.org/es/members/saint-lucia/implementation-schedule" TargetMode="External"/><Relationship Id="rId54" Type="http://schemas.openxmlformats.org/officeDocument/2006/relationships/hyperlink" Target="https://test.tfadatabase.org/es/members/saint-vincent-and-the-grenadines/implementation-schedule" TargetMode="External"/><Relationship Id="rId55" Type="http://schemas.openxmlformats.org/officeDocument/2006/relationships/hyperlink" Target="https://test.tfadatabase.org/es/members/samoa/implementation-schedule" TargetMode="External"/><Relationship Id="rId56" Type="http://schemas.openxmlformats.org/officeDocument/2006/relationships/hyperlink" Target="https://test.tfadatabase.org/es/members/senegal/implementation-schedule" TargetMode="External"/><Relationship Id="rId57" Type="http://schemas.openxmlformats.org/officeDocument/2006/relationships/hyperlink" Target="https://test.tfadatabase.org/es/members/seychelles/implementation-schedule" TargetMode="External"/><Relationship Id="rId58" Type="http://schemas.openxmlformats.org/officeDocument/2006/relationships/hyperlink" Target="https://test.tfadatabase.org/es/members/sierra-leone/implementation-schedule" TargetMode="External"/><Relationship Id="rId59" Type="http://schemas.openxmlformats.org/officeDocument/2006/relationships/hyperlink" Target="https://test.tfadatabase.org/es/members/timor-leste/implementation-schedule" TargetMode="External"/><Relationship Id="rId60" Type="http://schemas.openxmlformats.org/officeDocument/2006/relationships/hyperlink" Target="https://test.tfadatabase.org/es/members/togo/implementation-schedule" TargetMode="External"/><Relationship Id="rId61" Type="http://schemas.openxmlformats.org/officeDocument/2006/relationships/hyperlink" Target="https://test.tfadatabase.org/es/members/trinidad-and-tobago/implementation-schedule" TargetMode="External"/><Relationship Id="rId62" Type="http://schemas.openxmlformats.org/officeDocument/2006/relationships/hyperlink" Target="https://test.tfadatabase.org/es/members/uganda/implementation-schedule" TargetMode="External"/><Relationship Id="rId63" Type="http://schemas.openxmlformats.org/officeDocument/2006/relationships/hyperlink" Target="https://test.tfadatabase.org/es/members/zimbabwe/implementation-schedule" TargetMode="External"/><Relationship Id="rId64" Type="http://schemas.openxmlformats.org/officeDocument/2006/relationships/image" Target="media/section_image1.png"/><Relationship Id="rId65" Type="http://schemas.openxmlformats.org/officeDocument/2006/relationships/hyperlink" Target="https://test.tfadatabase.org/es/contact" TargetMode="External"/><Relationship Id="rId66" Type="http://schemas.openxmlformats.org/officeDocument/2006/relationships/hyperlink" Target="https://test.tfadatabase.org/es/implementation/commitments-due-by-date" TargetMode="External"/><Relationship Id="rId6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2026-10-12T07:38:14+00:00</dcterms:created>
  <dcterms:modified xsi:type="dcterms:W3CDTF">2026-10-12T07:38:14+00:00</dcterms:modified>
</cp:coreProperties>
</file>

<file path=docProps/custom.xml><?xml version="1.0" encoding="utf-8"?>
<Properties xmlns="http://schemas.openxmlformats.org/officeDocument/2006/custom-properties" xmlns:vt="http://schemas.openxmlformats.org/officeDocument/2006/docPropsVTypes"/>
</file>