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MATRIZ DE LAS NOTIFICACIONES PRESENTADAS EN VIRTUD DEL ACUERDO SOBRE FACILITACIÓN DEL COMERCIO (AFC)</w:t>
      </w:r>
    </w:p>
    <w:p>
      <w:pPr/>
      <w:r>
        <w:rPr/>
        <w:t xml:space="preserve"/>
      </w:r>
    </w:p>
    <w:p>
      <w:pPr/>
      <w:r>
        <w:rPr>
          <w:rStyle w:val="verdana_9"/>
        </w:rPr>
        <w:t xml:space="preserve">La matriz se divide en cuatro secciones, que corresponden a las distintas prescripciones de notificación establecidas en el AFC.</w:t>
      </w:r>
    </w:p>
    <w:p>
      <w:pPr/>
      <w:r>
        <w:rPr>
          <w:rStyle w:val="verdana_9_bold"/>
        </w:rPr>
        <w:t xml:space="preserve">1. Notificaciones de aplicación </w:t>
      </w:r>
      <w:r>
        <w:rPr>
          <w:rStyle w:val="verdana_9"/>
        </w:rPr>
        <w:t xml:space="preserve">(categorías A, B y C)</w:t>
      </w:r>
      <w:r>
        <w:rPr>
          <w:rStyle w:val="verdana_9"/>
        </w:rPr>
        <w:t xml:space="preserve">………………………………………………………………………………………</w:t>
      </w:r>
      <w:r>
        <w:rPr>
          <w:rStyle w:val="verdana_9"/>
        </w:rPr>
        <w:t xml:space="preserve">ir a la página 4</w:t>
      </w:r>
    </w:p>
    <w:p>
      <w:pPr/>
      <w:r>
        <w:rPr>
          <w:rStyle w:val="verdana_9"/>
        </w:rPr>
        <w:t xml:space="preserve">Un cuadro recapitulativo muestra la situación de las notificaciones con arreglo a cada prescripción de notificación. Para facilitar la consulta, en la parte superior de cada sección se indica la fecha límite para la presentación de las notificaciones correspondientes. Las cifras indican el número de Miembros que han notificado TODAS las disposiciones designadas para su inclusión en las distintas categorías, que han notificado ALGUNAS de las disposiciones designadas o que aún no han notificado NINGUNA disposición designada. La información aparece desglosada de la siguiente manera:</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Conjunto de Miembros en desarrollo y PMA Miembros</w:t>
            </w:r>
          </w:p>
        </w:tc>
      </w:tr>
      <w:tr>
        <w:trPr/>
        <w:tc>
          <w:tcPr>
            <w:tcW w:w="3000" w:type="dxa"/>
          </w:tcPr>
          <w:p>
            <w:pPr>
              <w:pStyle w:val="no_spacing_paragraph"/>
            </w:pPr>
            <w:r>
              <w:rPr>
                <w:rStyle w:val="verdana_9"/>
              </w:rPr>
              <w:t xml:space="preserve">Miembros en desarrollo</w:t>
            </w:r>
          </w:p>
        </w:tc>
        <w:tc>
          <w:tcPr>
            <w:tcW w:w="8500" w:type="dxa"/>
          </w:tcPr>
          <w:p>
            <w:pPr>
              <w:pStyle w:val="no_spacing_paragraph"/>
            </w:pPr>
            <w:r>
              <w:rPr>
                <w:rStyle w:val="verdana_9"/>
              </w:rPr>
              <w:t xml:space="preserve">Solo los Miembros en desarrollo</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Designaciones pendientes</w:t>
            </w:r>
          </w:p>
        </w:tc>
        <w:tc>
          <w:tcPr>
            <w:tcW w:w="8500" w:type="dxa"/>
          </w:tcPr>
          <w:p>
            <w:pPr>
              <w:pStyle w:val="no_spacing_paragraph"/>
            </w:pPr>
            <w:r>
              <w:rPr>
                <w:rStyle w:val="verdana_9_bold"/>
              </w:rPr>
              <w:t xml:space="preserve">todas</w:t>
            </w:r>
            <w:r>
              <w:rPr>
                <w:rStyle w:val="verdana_9_bold"/>
              </w:rPr>
              <w:t xml:space="preserve"> = </w:t>
            </w:r>
            <w:r>
              <w:rPr>
                <w:rStyle w:val="verdana_9"/>
              </w:rPr>
              <w:t xml:space="preserve">el Miembro no tiene ninguna disposición pendiente de designar</w:t>
            </w:r>
          </w:p>
          <w:p>
            <w:pPr>
              <w:pStyle w:val="no_spacing_paragraph"/>
            </w:pPr>
            <w:r>
              <w:rPr>
                <w:rStyle w:val="verdana_9_bold"/>
              </w:rPr>
              <w:t xml:space="preserve">algunas</w:t>
            </w:r>
            <w:r>
              <w:rPr>
                <w:rStyle w:val="verdana_9_bold"/>
              </w:rPr>
              <w:t xml:space="preserve"> = </w:t>
            </w:r>
            <w:r>
              <w:rPr>
                <w:rStyle w:val="verdana_9"/>
              </w:rPr>
              <w:t xml:space="preserve">el Miembro tiene algunas disposiciones pendientes de designar</w:t>
            </w:r>
          </w:p>
          <w:p>
            <w:pPr>
              <w:pStyle w:val="no_spacing_paragraph"/>
            </w:pPr>
            <w:r>
              <w:rPr>
                <w:rStyle w:val="verdana_9_bold"/>
              </w:rPr>
              <w:t xml:space="preserve">ninguna</w:t>
            </w:r>
            <w:r>
              <w:rPr>
                <w:rStyle w:val="verdana_9_bold"/>
              </w:rPr>
              <w:t xml:space="preserve"> = </w:t>
            </w:r>
            <w:r>
              <w:rPr>
                <w:rStyle w:val="verdana_9"/>
              </w:rPr>
              <w:t xml:space="preserve">el Miembro tiene todas las disposiciones pendientes de designar</w:t>
            </w:r>
          </w:p>
        </w:tc>
      </w:tr>
      <w:tr>
        <w:trPr/>
        <w:tc>
          <w:tcPr>
            <w:tcW w:w="3000" w:type="dxa"/>
          </w:tcPr>
          <w:p>
            <w:pPr>
              <w:pStyle w:val="no_spacing_paragraph"/>
            </w:pPr>
            <w:r>
              <w:rPr>
                <w:rStyle w:val="verdana_9"/>
              </w:rPr>
              <w:t xml:space="preserve">Fechas de aplicación</w:t>
            </w:r>
          </w:p>
          <w:p>
            <w:pPr>
              <w:pStyle w:val="no_spacing_paragraph"/>
            </w:pPr>
            <w:r>
              <w:rPr>
                <w:rStyle w:val="verdana_9"/>
              </w:rPr>
              <w:t xml:space="preserve">IND = Indicativa</w:t>
            </w:r>
          </w:p>
          <w:p>
            <w:pPr>
              <w:pStyle w:val="no_spacing_paragraph"/>
            </w:pPr>
            <w:r>
              <w:rPr>
                <w:rStyle w:val="verdana_9"/>
              </w:rPr>
              <w:t xml:space="preserve">DEF = Definitiva</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todas las fechas en la categoría de que se trata</w:t>
            </w:r>
          </w:p>
          <w:p>
            <w:pPr>
              <w:pStyle w:val="no_spacing_paragraph"/>
            </w:pPr>
            <w:r>
              <w:rPr>
                <w:rStyle w:val="verdana_9_bold"/>
              </w:rPr>
              <w:t xml:space="preserve">No</w:t>
            </w:r>
            <w:r>
              <w:rPr>
                <w:rStyle w:val="verdana_9_bold"/>
              </w:rPr>
              <w:t xml:space="preserve"> = </w:t>
            </w:r>
            <w:r>
              <w:rPr>
                <w:rStyle w:val="verdana_9"/>
              </w:rPr>
              <w:t xml:space="preserve">no ha notificado fechas en la categoría de que se trata</w:t>
            </w:r>
          </w:p>
          <w:p>
            <w:pPr>
              <w:pStyle w:val="no_spacing_paragraph"/>
            </w:pPr>
            <w:r>
              <w:rPr>
                <w:rStyle w:val="verdana_9_bold"/>
              </w:rPr>
              <w:t xml:space="preserve">Algunas</w:t>
            </w:r>
            <w:r>
              <w:rPr>
                <w:rStyle w:val="verdana_9_bold"/>
              </w:rPr>
              <w:t xml:space="preserve"> = </w:t>
            </w:r>
            <w:r>
              <w:rPr>
                <w:rStyle w:val="verdana_9"/>
              </w:rPr>
              <w:t xml:space="preserve">ha notificado algunas fechas en la categoría de que se trata</w:t>
            </w:r>
          </w:p>
          <w:p>
            <w:pPr>
              <w:pStyle w:val="no_spacing_paragraph"/>
            </w:pPr>
            <w:r>
              <w:rPr>
                <w:rStyle w:val="verdana_9_bold"/>
              </w:rPr>
              <w:t xml:space="preserve">n/a</w:t>
            </w:r>
            <w:r>
              <w:rPr>
                <w:rStyle w:val="verdana_9_bold"/>
              </w:rPr>
              <w:t xml:space="preserve"> = </w:t>
            </w:r>
            <w:r>
              <w:rPr>
                <w:rStyle w:val="verdana_9"/>
              </w:rPr>
              <w:t xml:space="preserve">no se aplica</w:t>
            </w:r>
          </w:p>
        </w:tc>
      </w:tr>
      <w:tr>
        <w:trPr/>
        <w:tc>
          <w:tcPr>
            <w:tcW w:w="3000" w:type="dxa"/>
          </w:tcPr>
          <w:p>
            <w:pPr>
              <w:pStyle w:val="no_spacing_paragraph"/>
            </w:pPr>
            <w:r>
              <w:rPr>
                <w:rStyle w:val="verdana_9"/>
              </w:rPr>
              <w:t xml:space="preserve">Notificaciones relacionadas con las necesidades de ATCC (asistencia técnica y creación de capacidad)</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TODOS los requisitos de ATCC</w:t>
            </w:r>
          </w:p>
          <w:p>
            <w:pPr>
              <w:pStyle w:val="no_spacing_paragraph"/>
            </w:pPr>
            <w:r>
              <w:rPr>
                <w:rStyle w:val="verdana_9_bold"/>
              </w:rPr>
              <w:t xml:space="preserve">No</w:t>
            </w:r>
            <w:r>
              <w:rPr>
                <w:rStyle w:val="verdana_9_bold"/>
              </w:rPr>
              <w:t xml:space="preserve"> = </w:t>
            </w:r>
            <w:r>
              <w:rPr>
                <w:rStyle w:val="verdana_9"/>
              </w:rPr>
              <w:t xml:space="preserve">aún no ha notificado NINGÚN requisito de ATCC</w:t>
            </w:r>
          </w:p>
          <w:p>
            <w:pPr>
              <w:pStyle w:val="no_spacing_paragraph"/>
            </w:pPr>
            <w:r>
              <w:rPr>
                <w:rStyle w:val="verdana_9_bold"/>
              </w:rPr>
              <w:t xml:space="preserve">Algunas</w:t>
            </w:r>
            <w:r>
              <w:rPr>
                <w:rStyle w:val="verdana_9_bold"/>
              </w:rPr>
              <w:t xml:space="preserve"> = </w:t>
            </w:r>
            <w:r>
              <w:rPr>
                <w:rStyle w:val="verdana_9"/>
              </w:rPr>
              <w:t xml:space="preserve">ha notificado ALGUNOS requisitos de ATCC</w:t>
            </w:r>
          </w:p>
          <w:p>
            <w:pPr>
              <w:pStyle w:val="no_spacing_paragraph"/>
            </w:pPr>
            <w:r>
              <w:rPr>
                <w:rStyle w:val="verdana_9_bold"/>
              </w:rPr>
              <w:t xml:space="preserve">n/a</w:t>
            </w:r>
            <w:r>
              <w:rPr>
                <w:rStyle w:val="verdana_9_bold"/>
              </w:rPr>
              <w:t xml:space="preserve"> = </w:t>
            </w:r>
            <w:r>
              <w:rPr>
                <w:rStyle w:val="verdana_9"/>
              </w:rPr>
              <w:t xml:space="preserve">no se aplica</w:t>
            </w:r>
          </w:p>
        </w:tc>
      </w:tr>
    </w:tbl>
    <w:p>
      <w:r>
        <w:br w:type="page"/>
      </w:r>
    </w:p>
    <w:p>
      <w:pPr/>
      <w:r>
        <w:rPr>
          <w:rStyle w:val="verdana_9_bold"/>
        </w:rPr>
        <w:t xml:space="preserve">2. Notificaciones de transparencia  </w:t>
      </w:r>
      <w:r>
        <w:rPr>
          <w:rStyle w:val="verdana_9"/>
        </w:rPr>
        <w:t xml:space="preserve">(artículos 1.4, 10.4.3, 10.6.2 y 12.2.2)</w:t>
      </w:r>
      <w:r>
        <w:rPr>
          <w:rStyle w:val="verdana_9"/>
        </w:rPr>
        <w:t xml:space="preserve">…………………………………………………</w:t>
      </w:r>
      <w:r>
        <w:rPr>
          <w:rStyle w:val="verdana_9"/>
        </w:rPr>
        <w:t xml:space="preserve">ir a la página 16</w:t>
      </w:r>
    </w:p>
    <w:p>
      <w:pPr/>
      <w:r>
        <w:rPr>
          <w:rStyle w:val="verdana_9"/>
        </w:rPr>
        <w:t xml:space="preserve">Un cuadro recapitulativo muestra la situación de las notificaciones con arreglo a cada uno de los artículos relativos a la transparencia. Las cifras muestran el número de Miembros que han presentado o aún NO han presentado notificaciones con respecto a los correspondientes artículos. En el caso del artículo 1.4, la información se desglosa en mayor medida para indicar si se han presentado notificaciones con respecto a TODOS los apartados del artículo, a ALGUNOS apartados del artículo o a NINGUNO. Esto se debe a que algunos Miembros han presentado notificaciones que se refieren a determinados apartados del artículo 1.4.</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Todos los Miembros: conjunto de los Miembros en desarrollo, PMA Miembros y Miembros desarrollados </w:t>
            </w:r>
          </w:p>
        </w:tc>
      </w:tr>
      <w:tr>
        <w:trPr/>
        <w:tc>
          <w:tcPr>
            <w:tcW w:w="3000" w:type="dxa"/>
          </w:tcPr>
          <w:p>
            <w:pPr>
              <w:pStyle w:val="no_spacing_paragraph"/>
            </w:pPr>
            <w:r>
              <w:rPr>
                <w:rStyle w:val="verdana_9"/>
              </w:rPr>
              <w:t xml:space="preserve">Países en desarrollo</w:t>
            </w:r>
          </w:p>
        </w:tc>
        <w:tc>
          <w:tcPr>
            <w:tcW w:w="8500" w:type="dxa"/>
          </w:tcPr>
          <w:p>
            <w:pPr>
              <w:pStyle w:val="no_spacing_paragraph"/>
            </w:pPr>
            <w:r>
              <w:rPr>
                <w:rStyle w:val="verdana_9"/>
              </w:rPr>
              <w:t xml:space="preserve">Solo los Miembros en desarrollo </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r>
        <w:trPr/>
        <w:tc>
          <w:tcPr>
            <w:tcW w:w="3000" w:type="dxa"/>
          </w:tcPr>
          <w:p>
            <w:pPr>
              <w:pStyle w:val="no_spacing_paragraph"/>
            </w:pPr>
            <w:r>
              <w:rPr>
                <w:rStyle w:val="verdana_9"/>
              </w:rPr>
              <w:t xml:space="preserve">Países desarrollados</w:t>
            </w:r>
          </w:p>
        </w:tc>
        <w:tc>
          <w:tcPr>
            <w:tcW w:w="8500" w:type="dxa"/>
          </w:tcPr>
          <w:p>
            <w:pPr>
              <w:pStyle w:val="no_spacing_paragraph"/>
            </w:pPr>
            <w:r>
              <w:rPr>
                <w:rStyle w:val="verdana_9"/>
              </w:rPr>
              <w:t xml:space="preserve">Solo los Miembros desarrollados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categoría en la que se ha designado el artículo de que se trata:</w:t>
            </w:r>
          </w:p>
          <w:p>
            <w:pPr>
              <w:pStyle w:val="no_spacing_paragraph"/>
            </w:pPr>
            <w:r>
              <w:rPr>
                <w:rStyle w:val="verdana_9_bold"/>
              </w:rPr>
              <w:t xml:space="preserve">A, B, C</w:t>
            </w:r>
            <w:r>
              <w:rPr>
                <w:rStyle w:val="verdana_9_bold"/>
              </w:rPr>
              <w:t xml:space="preserve"> = </w:t>
            </w:r>
            <w:r>
              <w:rPr>
                <w:rStyle w:val="verdana_9"/>
              </w:rPr>
              <w:t xml:space="preserve">Notificación completa en la categoría de que se trata</w:t>
            </w:r>
          </w:p>
          <w:p>
            <w:pPr>
              <w:pStyle w:val="no_spacing_paragraph"/>
            </w:pPr>
            <w:r>
              <w:rPr>
                <w:rStyle w:val="verdana_9_bold"/>
              </w:rPr>
              <w:t xml:space="preserve">n/a</w:t>
            </w:r>
            <w:r>
              <w:rPr>
                <w:rStyle w:val="verdana_9_bold"/>
              </w:rPr>
              <w:t xml:space="preserve"> = </w:t>
            </w:r>
            <w:r>
              <w:rPr>
                <w:rStyle w:val="verdana_9"/>
              </w:rPr>
              <w:t xml:space="preserve">Notificación parcial en la categoría de que se trata</w:t>
            </w:r>
          </w:p>
          <w:p>
            <w:pPr>
              <w:pStyle w:val="no_spacing_paragraph"/>
            </w:pPr>
            <w:r>
              <w:rPr>
                <w:rStyle w:val="verdana_9_bold"/>
              </w:rPr>
              <w:t xml:space="preserve">N</w:t>
            </w:r>
            <w:r>
              <w:rPr>
                <w:rStyle w:val="verdana_9_bold"/>
              </w:rPr>
              <w:t xml:space="preserve"> = </w:t>
            </w:r>
            <w:r>
              <w:rPr>
                <w:rStyle w:val="verdana_9"/>
              </w:rPr>
              <w:t xml:space="preserve">Aún no se han presentado notificaciones</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transparencia</w:t>
            </w:r>
          </w:p>
        </w:tc>
        <w:tc>
          <w:tcPr>
            <w:tcW w:w="8500" w:type="dxa"/>
          </w:tcPr>
          <w:p>
            <w:pPr>
              <w:pStyle w:val="no_spacing_paragraph"/>
            </w:pPr>
            <w:r>
              <w:rPr>
                <w:rStyle w:val="verdana_9"/>
              </w:rPr>
              <w:t xml:space="preserve">Ha presentado una notificación con respecto al artículo de que se trata en una notificación de transparencia</w:t>
            </w:r>
          </w:p>
        </w:tc>
      </w:tr>
    </w:tbl>
    <w:p>
      <w:r>
        <w:br w:type="page"/>
      </w:r>
    </w:p>
    <w:p>
      <w:pPr/>
      <w:r>
        <w:rPr>
          <w:rStyle w:val="verdana_9_bold"/>
        </w:rPr>
        <w:t xml:space="preserve">3. Notificaciones relativas a la asistencia y el apoyo para la creación de capacidad prestados por los Miembros donantes </w:t>
      </w:r>
      <w:r>
        <w:rPr>
          <w:rStyle w:val="verdana_9"/>
        </w:rPr>
        <w:t xml:space="preserve">(artículos 22.1 y 22.2)</w:t>
      </w:r>
      <w:r>
        <w:rPr>
          <w:rStyle w:val="verdana_9"/>
        </w:rPr>
        <w:t xml:space="preserve">…………………………………………………………………………………………………………………………</w:t>
      </w:r>
      <w:r>
        <w:rPr>
          <w:rStyle w:val="verdana_9"/>
        </w:rPr>
        <w:t xml:space="preserve">ir a la página 30</w:t>
      </w:r>
    </w:p>
    <w:p>
      <w:pPr/>
      <w:r>
        <w:rPr>
          <w:rStyle w:val="verdana_9"/>
        </w:rPr>
        <w:t xml:space="preserve">Un cuadro recapitulativo muestra la situación de las notificaciones de los donantes. Las cifras muestran el número de Miembros donantes que han presentado notificaciones en virtud de cada artículo aplicable.</w:t>
      </w:r>
    </w:p>
    <w:p>
      <w:pPr/>
      <w:r>
        <w:rPr>
          <w:rStyle w:val="verdana_9"/>
        </w:rPr>
        <w:t xml:space="preserve">La lista de Miembros permite consultar su situación respectiva en materia de notificaciones. En las columnas se indica lo siguiente: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AÑO (período abarcado por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período que se indica en la notificación.</w:t>
            </w:r>
          </w:p>
        </w:tc>
      </w:tr>
      <w:tr>
        <w:trPr/>
        <w:tc>
          <w:tcPr>
            <w:vMerge w:val="continue"/>
          </w:tcPr>
          <w:p/>
        </w:tc>
        <w:tc>
          <w:tcPr>
            <w:tcW w:w="1800" w:type="dxa"/>
          </w:tcPr>
          <w:p>
            <w:pPr/>
            <w:r>
              <w:rPr>
                <w:rStyle w:val="verdana_9"/>
              </w:rPr>
              <w:t xml:space="preserve">AÑO (fecha de presentación de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plazo indicado para la presentación de la notificación.</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o aún no ha notificado información relacionada con el artículo 22.2.</w:t>
            </w:r>
          </w:p>
        </w:tc>
      </w:tr>
    </w:tbl>
    <w:p>
      <w:pPr/>
      <w:r>
        <w:rPr>
          <w:rStyle w:val="verdana_9"/>
        </w:rPr>
        <w:t xml:space="preserve"/>
      </w:r>
    </w:p>
    <w:p>
      <w:pPr/>
      <w:r>
        <w:rPr>
          <w:rStyle w:val="verdana_9_bold"/>
        </w:rPr>
        <w:t xml:space="preserve">4. Notificaciones relativas a los puntos de contacto de los Miembros en desarrollo y PMA Miembros que solicitan asistencia técnica y apoyo para la creación de capacidad  </w:t>
      </w:r>
      <w:r>
        <w:rPr>
          <w:rStyle w:val="verdana_9"/>
        </w:rPr>
        <w:t xml:space="preserve"> (artículo 22.3)</w:t>
      </w:r>
      <w:r>
        <w:rPr>
          <w:rStyle w:val="verdana_9"/>
        </w:rPr>
        <w:t xml:space="preserve">………………………………………………</w:t>
      </w:r>
      <w:r>
        <w:rPr>
          <w:rStyle w:val="verdana_9"/>
        </w:rPr>
        <w:t xml:space="preserve">ir a la página 32</w:t>
      </w:r>
    </w:p>
    <w:p>
      <w:pPr/>
      <w:r>
        <w:rPr>
          <w:rStyle w:val="verdana_9"/>
        </w:rPr>
        <w:t xml:space="preserve">Un cuadro recapitulativo muestra la situación de las notificaciones de información relacionada con el artículo 22.3 presentadas por países en desarrollo y PMA. Muestra el número de Miembros que han presentado notificaciones en virtud del artículo 22.3 en relación con el total de Miembros que han notificado compromisos de la categoría C.</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22.3</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RESUMEN DE LAS NOTIFICACIONES DE LAS CATEGORÍAS A, B Y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Designación de las disposiciones en las categorías A, B y 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Miembros en desarrollo y PMA Miembros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Miembros que han presentado TODAS las designaciones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Miembros que han NO han presentado NINGUNA designación</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Miembros que han presentado ALGUNAS designaciones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indicativas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indicativas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definitivas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definitivas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Necesidades de asistencia técnica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 la información en materia de ATCC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Miembros que aún no ha notificado NINGUN ninguna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Miembros que han notificado ALGUNA información en materia de ATCC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Miembro</w:t>
            </w:r>
          </w:p>
        </w:tc>
        <w:tc>
          <w:tcPr>
            <w:tcW w:w="1000" w:type="dxa"/>
            <w:vAlign w:val="center"/>
          </w:tcPr>
          <w:p>
            <w:pPr>
              <w:jc w:val="center"/>
            </w:pPr>
            <w:r>
              <w:rPr>
                <w:rFonts w:ascii="Verdana" w:hAnsi="Verdana" w:eastAsia="Verdana" w:cs="Verdana"/>
                <w:sz w:val="18"/>
                <w:szCs w:val="18"/>
                <w:b w:val="1"/>
                <w:bCs w:val="1"/>
              </w:rPr>
              <w:t xml:space="preserve">Ratificación</w:t>
            </w:r>
          </w:p>
        </w:tc>
        <w:tc>
          <w:tcPr>
            <w:tcW w:w="1000" w:type="dxa"/>
            <w:vAlign w:val="center"/>
          </w:tcPr>
          <w:p>
            <w:pPr>
              <w:jc w:val="center"/>
            </w:pPr>
            <w:r>
              <w:rPr>
                <w:rFonts w:ascii="Verdana" w:hAnsi="Verdana" w:eastAsia="Verdana" w:cs="Verdana"/>
                <w:sz w:val="18"/>
                <w:szCs w:val="18"/>
                <w:b w:val="1"/>
                <w:bCs w:val="1"/>
              </w:rPr>
              <w:t xml:space="preserve">Designación de las disposiciones en las categorías A, B y C</w:t>
            </w:r>
          </w:p>
        </w:tc>
        <w:tc>
          <w:tcPr>
            <w:tcW w:w="1000" w:type="dxa"/>
            <w:vAlign w:val="center"/>
          </w:tcPr>
          <w:p>
            <w:pPr>
              <w:jc w:val="center"/>
            </w:pPr>
            <w:r>
              <w:rPr>
                <w:rFonts w:ascii="Verdana" w:hAnsi="Verdana" w:eastAsia="Verdana" w:cs="Verdana"/>
                <w:sz w:val="18"/>
                <w:szCs w:val="18"/>
                <w:b w:val="1"/>
                <w:bCs w:val="1"/>
              </w:rPr>
              <w:t xml:space="preserve">Fechas IND
Cat.B</w:t>
            </w:r>
          </w:p>
        </w:tc>
        <w:tc>
          <w:tcPr>
            <w:tcW w:w="1000" w:type="dxa"/>
            <w:vAlign w:val="center"/>
          </w:tcPr>
          <w:p>
            <w:pPr>
              <w:jc w:val="center"/>
            </w:pPr>
            <w:r>
              <w:rPr>
                <w:rFonts w:ascii="Verdana" w:hAnsi="Verdana" w:eastAsia="Verdana" w:cs="Verdana"/>
                <w:sz w:val="18"/>
                <w:szCs w:val="18"/>
                <w:b w:val="1"/>
                <w:bCs w:val="1"/>
              </w:rPr>
              <w:t xml:space="preserve">Fechas IND
Cat.C</w:t>
            </w:r>
          </w:p>
        </w:tc>
        <w:tc>
          <w:tcPr>
            <w:tcW w:w="1000" w:type="dxa"/>
            <w:vAlign w:val="center"/>
          </w:tcPr>
          <w:p>
            <w:pPr>
              <w:jc w:val="center"/>
            </w:pPr>
            <w:r>
              <w:rPr>
                <w:rFonts w:ascii="Verdana" w:hAnsi="Verdana" w:eastAsia="Verdana" w:cs="Verdana"/>
                <w:sz w:val="18"/>
                <w:szCs w:val="18"/>
                <w:b w:val="1"/>
                <w:bCs w:val="1"/>
              </w:rPr>
              <w:t xml:space="preserve">Fechas DEF
Cat.B</w:t>
            </w:r>
          </w:p>
        </w:tc>
        <w:tc>
          <w:tcPr>
            <w:tcW w:w="1000" w:type="dxa"/>
            <w:vAlign w:val="center"/>
          </w:tcPr>
          <w:p>
            <w:pPr>
              <w:jc w:val="center"/>
            </w:pPr>
            <w:r>
              <w:rPr>
                <w:rFonts w:ascii="Verdana" w:hAnsi="Verdana" w:eastAsia="Verdana" w:cs="Verdana"/>
                <w:sz w:val="18"/>
                <w:szCs w:val="18"/>
                <w:b w:val="1"/>
                <w:bCs w:val="1"/>
              </w:rPr>
              <w:t xml:space="preserve">Fechas DEF
Cat.C</w:t>
            </w:r>
          </w:p>
        </w:tc>
        <w:tc>
          <w:tcPr>
            <w:tcW w:w="1000" w:type="dxa"/>
            <w:vAlign w:val="center"/>
          </w:tcPr>
          <w:p>
            <w:pPr>
              <w:jc w:val="center"/>
            </w:pPr>
            <w:r>
              <w:rPr>
                <w:rFonts w:ascii="Verdana" w:hAnsi="Verdana" w:eastAsia="Verdana" w:cs="Verdana"/>
                <w:sz w:val="18"/>
                <w:szCs w:val="18"/>
                <w:b w:val="1"/>
                <w:bCs w:val="1"/>
              </w:rPr>
              <w:t xml:space="preserve">Notificación
de ATCC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Afganistán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y Barbuda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Bahrein, Reino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Belice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Estado Plurinacional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Brasil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Camboya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Camerún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Comoras</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Corea,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Costa 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d'Ivoire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Egipto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Emiratos Árabes Unidos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Eswatini, Reino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Filipinas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Gabón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Granada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Haití</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Islas Salomón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Israel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Kazajstán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Kuwait, Estado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Macedonia del Norte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tcPr>
          <w:p>
            <w:pPr/>
            <w:r>
              <w:rPr>
                <w:rStyle w:val="verdana_9"/>
              </w:rPr>
              <w:t xml:space="preserve">Malasia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Maldivas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Malí</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Marruecos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Mauricio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México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Níger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Omán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Panamá</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Nueva Guinea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Perú</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Reino de Arabia Saudita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República Centroafricana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República Democrática Popular Lao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República Democrática del Congo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República Dominicana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República Kirguisa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y Nevis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 Vicente y las Granadinas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Santa Lucía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Singapur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Sudáfrica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Tailandia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Territorio Aduanero Distinto de Taiwán, Penghu, Kinmen y Matsu (Taipei Chino)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Tanzanía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Tayikistán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y Tabago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Túnez</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Ucrania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Uruguay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República Bolivariana de</w:t>
            </w:r>
          </w:p>
        </w:tc>
        <w:tc>
          <w:tcPr>
            <w:tcW w:w="1000" w:type="dxa"/>
          </w:tcPr>
          <w:p>
            <w:pPr/>
            <w:r>
              <w:rPr>
                <w:rStyle w:val="verdana_9"/>
              </w:rPr>
              <w:t xml:space="preserve">Sí</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Leyenda</w:t>
      </w:r>
    </w:p>
    <w:p>
      <w:pPr/>
      <w:r>
        <w:rPr>
          <w:rStyle w:val="verdana_9_bg_grey"/>
        </w:rPr>
        <w:t xml:space="preserve">Los Miembros resaltados en gris son PMA</w:t>
      </w:r>
    </w:p>
    <w:p>
      <w:r>
        <w:br w:type="page"/>
      </w:r>
    </w:p>
    <w:p>
      <w:pPr/>
      <w:r>
        <w:rPr>
          <w:rStyle w:val="verdana_10_bold"/>
        </w:rPr>
        <w:t xml:space="preserve">2. NOTIFICACIONES DE TRANSPARENCIA (ARTÍCULOS 1.4, 10.4.3, 10.6.2 y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Prescripción de notificación</w:t>
            </w:r>
          </w:p>
        </w:tc>
        <w:tc>
          <w:tcPr>
            <w:tcW w:w="2000" w:type="dxa"/>
            <w:gridSpan w:val="2"/>
          </w:tcPr>
          <w:p>
            <w:pPr>
              <w:jc w:val="center"/>
            </w:pPr>
            <w:r>
              <w:rPr>
                <w:rFonts w:ascii="Verdana" w:hAnsi="Verdana" w:eastAsia="Verdana" w:cs="Verdana"/>
                <w:sz w:val="18"/>
                <w:szCs w:val="18"/>
                <w:b w:val="1"/>
                <w:bCs w:val="1"/>
              </w:rPr>
              <w:t xml:space="preserve">Total</w:t>
            </w:r>
          </w:p>
        </w:tc>
        <w:tc>
          <w:tcPr>
            <w:tcW w:w="2000" w:type="dxa"/>
            <w:gridSpan w:val="2"/>
          </w:tcPr>
          <w:p>
            <w:pPr>
              <w:jc w:val="center"/>
            </w:pPr>
            <w:r>
              <w:rPr>
                <w:rFonts w:ascii="Verdana" w:hAnsi="Verdana" w:eastAsia="Verdana" w:cs="Verdana"/>
                <w:sz w:val="18"/>
                <w:szCs w:val="18"/>
                <w:b w:val="1"/>
                <w:bCs w:val="1"/>
              </w:rPr>
              <w:t xml:space="preserve">Miembros en desarrollo</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Miembros desarrollados</w:t>
            </w:r>
          </w:p>
        </w:tc>
      </w:tr>
      <w:tr>
        <w:trPr/>
        <w:tc>
          <w:tcPr>
            <w:tcW w:w="6000" w:type="dxa"/>
            <w:vAlign w:val="center"/>
            <w:shd w:val="clear" w:fill="756BB0"/>
          </w:tcPr>
          <w:p>
            <w:pPr/>
            <w:r>
              <w:rPr>
                <w:rStyle w:val="verdana_9_bold_white"/>
              </w:rPr>
              <w:t xml:space="preserve">1.4 - Procedimientos de importación, exportación y tránsito</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 relativas a TODOS los elementos del artículo</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no han presentado NINGUNA notificación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Miembros que han presentado notificaciones relativas a ALGUNOS elementos del artículo</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Funcionamiento de la ventanilla única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Recurso a agentes de aduanas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Puntos de contacto para la cooperación aduanera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Miembro</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enero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2024</w:t>
            </w:r>
          </w:p>
        </w:tc>
      </w:tr>
      <w:tr>
        <w:trPr/>
        <w:tc>
          <w:tcPr>
            <w:tcW w:w="5000" w:type="dxa"/>
          </w:tcPr>
          <w:p>
            <w:pPr/>
            <w:r>
              <w:rPr>
                <w:rStyle w:val="verdana_9"/>
              </w:rPr>
              <w:t xml:space="preserve">Antigua y Barbuda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Antigua y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2035</w:t>
            </w:r>
          </w:p>
        </w:tc>
      </w:tr>
      <w:tr>
        <w:trPr/>
        <w:tc>
          <w:tcPr>
            <w:tcW w:w="5000" w:type="dxa"/>
          </w:tcPr>
          <w:p>
            <w:pPr/>
            <w:r>
              <w:rPr>
                <w:rStyle w:val="verdana_9"/>
              </w:rPr>
              <w:t xml:space="preserve">Antigua y Barbuda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Antigua y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2017 - 22 enero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25 enero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2023</w:t>
            </w:r>
          </w:p>
        </w:tc>
      </w:tr>
      <w:tr>
        <w:trPr/>
        <w:tc>
          <w:tcPr>
            <w:tcW w:w="5000" w:type="dxa"/>
          </w:tcPr>
          <w:p>
            <w:pPr/>
            <w:r>
              <w:rPr>
                <w:rStyle w:val="verdana_9"/>
              </w:rPr>
              <w:t xml:space="preserve">Bahrein, Reino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Bahrein, Reino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2022</w:t>
            </w:r>
          </w:p>
        </w:tc>
      </w:tr>
      <w:tr>
        <w:trPr/>
        <w:tc>
          <w:tcPr>
            <w:tcW w:w="5000" w:type="dxa"/>
          </w:tcPr>
          <w:p>
            <w:pPr/>
            <w:r>
              <w:rPr>
                <w:rStyle w:val="verdana_9"/>
              </w:rPr>
              <w:t xml:space="preserve">Bélgica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Belice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Belice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Bolivia, Estado Plurinacional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Bolivia, Estado Plurinacional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Brasil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julio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 enero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julio 2025</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2023</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mayo 2024</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septiembre 2021 - 30 septiembre 2022</w:t>
            </w:r>
          </w:p>
        </w:tc>
      </w:tr>
      <w:tr>
        <w:trPr/>
        <w:tc>
          <w:tcPr>
            <w:tcW w:w="5000" w:type="dxa"/>
          </w:tcPr>
          <w:p>
            <w:pPr/>
            <w:r>
              <w:rPr>
                <w:rStyle w:val="verdana_9"/>
              </w:rPr>
              <w:t xml:space="preserve">Camerún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Camerún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tcPr>
          <w:p>
            <w:pPr/>
            <w:r>
              <w:rPr>
                <w:rStyle w:val="verdana_9"/>
              </w:rPr>
              <w:t xml:space="preserve">Canadá</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19 julio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diciembre 2019</w:t>
            </w:r>
          </w:p>
        </w:tc>
      </w:tr>
      <w:tr>
        <w:trPr/>
        <w:tc>
          <w:tcPr>
            <w:tcW w:w="5000" w:type="dxa"/>
          </w:tcPr>
          <w:p>
            <w:pPr/>
            <w:r>
              <w:rPr>
                <w:rStyle w:val="verdana_9"/>
              </w:rPr>
              <w:t xml:space="preserve">Chipre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julio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2025</w:t>
            </w:r>
          </w:p>
        </w:tc>
      </w:tr>
      <w:tr>
        <w:trPr/>
        <w:tc>
          <w:tcPr>
            <w:tcW w:w="5000" w:type="dxa"/>
          </w:tcPr>
          <w:p>
            <w:pPr/>
            <w:r>
              <w:rPr>
                <w:rStyle w:val="verdana_9"/>
              </w:rPr>
              <w:t xml:space="preserve">Corea,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Côte d'Ivoire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2021</w:t>
            </w:r>
          </w:p>
        </w:tc>
      </w:tr>
      <w:tr>
        <w:trPr/>
        <w:tc>
          <w:tcPr>
            <w:tcW w:w="5000" w:type="dxa"/>
          </w:tcPr>
          <w:p>
            <w:pPr/>
            <w:r>
              <w:rPr>
                <w:rStyle w:val="verdana_9"/>
              </w:rPr>
              <w:t xml:space="preserve">Côte d'Ivoire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Croacia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Dinamarca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enero 2021</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julio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Egipto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2027</w:t>
            </w:r>
          </w:p>
        </w:tc>
      </w:tr>
      <w:tr>
        <w:trPr/>
        <w:tc>
          <w:tcPr>
            <w:tcW w:w="5000" w:type="dxa"/>
          </w:tcPr>
          <w:p>
            <w:pPr/>
            <w:r>
              <w:rPr>
                <w:rStyle w:val="verdana_9"/>
              </w:rPr>
              <w:t xml:space="preserve">Egipto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Egipto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Egipto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2021</w:t>
            </w:r>
          </w:p>
        </w:tc>
      </w:tr>
      <w:tr>
        <w:trPr/>
        <w:tc>
          <w:tcPr>
            <w:tcW w:w="5000" w:type="dxa"/>
          </w:tcPr>
          <w:p>
            <w:pPr/>
            <w:r>
              <w:rPr>
                <w:rStyle w:val="verdana_9"/>
              </w:rPr>
              <w:t xml:space="preserve">Emiratos Árabes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2022</w:t>
            </w:r>
          </w:p>
        </w:tc>
      </w:tr>
      <w:tr>
        <w:trPr/>
        <w:tc>
          <w:tcPr>
            <w:tcW w:w="5000" w:type="dxa"/>
          </w:tcPr>
          <w:p>
            <w:pPr/>
            <w:r>
              <w:rPr>
                <w:rStyle w:val="verdana_9"/>
              </w:rPr>
              <w:t xml:space="preserve">Emiratos Árabes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2021</w:t>
            </w:r>
          </w:p>
        </w:tc>
      </w:tr>
      <w:tr>
        <w:trPr/>
        <w:tc>
          <w:tcPr>
            <w:tcW w:w="5000" w:type="dxa"/>
          </w:tcPr>
          <w:p>
            <w:pPr/>
            <w:r>
              <w:rPr>
                <w:rStyle w:val="verdana_9"/>
              </w:rPr>
              <w:t xml:space="preserve">Eswatini, Reino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2025</w:t>
            </w:r>
          </w:p>
        </w:tc>
      </w:tr>
      <w:tr>
        <w:trPr/>
        <w:tc>
          <w:tcPr>
            <w:tcW w:w="5000" w:type="dxa"/>
          </w:tcPr>
          <w:p>
            <w:pPr/>
            <w:r>
              <w:rPr>
                <w:rStyle w:val="verdana_9"/>
              </w:rPr>
              <w:t xml:space="preserve">Eswatini, Reino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Filipinas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Filipinas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Gabón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Gabón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2035</w:t>
            </w:r>
          </w:p>
        </w:tc>
      </w:tr>
      <w:tr>
        <w:trPr/>
        <w:tc>
          <w:tcPr>
            <w:tcW w:w="5000" w:type="dxa"/>
          </w:tcPr>
          <w:p>
            <w:pPr/>
            <w:r>
              <w:rPr>
                <w:rStyle w:val="verdana_9"/>
              </w:rPr>
              <w:t xml:space="preserve">Gabón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2030</w:t>
            </w:r>
          </w:p>
        </w:tc>
      </w:tr>
      <w:tr>
        <w:trPr/>
        <w:tc>
          <w:tcPr>
            <w:tcW w:w="5000" w:type="dxa"/>
          </w:tcPr>
          <w:p>
            <w:pPr/>
            <w:r>
              <w:rPr>
                <w:rStyle w:val="verdana_9"/>
              </w:rPr>
              <w:t xml:space="preserve">Gabón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septiembre 2025</w:t>
            </w:r>
          </w:p>
        </w:tc>
      </w:tr>
      <w:tr>
        <w:trPr/>
        <w:tc>
          <w:tcPr>
            <w:tcW w:w="5000" w:type="dxa"/>
          </w:tcPr>
          <w:p>
            <w:pPr/>
            <w:r>
              <w:rPr>
                <w:rStyle w:val="verdana_9"/>
              </w:rPr>
              <w:t xml:space="preserve">Granada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Granada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2030</w:t>
            </w:r>
          </w:p>
        </w:tc>
      </w:tr>
      <w:tr>
        <w:trPr/>
        <w:tc>
          <w:tcPr>
            <w:tcW w:w="5000" w:type="dxa"/>
          </w:tcPr>
          <w:p>
            <w:pPr/>
            <w:r>
              <w:rPr>
                <w:rStyle w:val="verdana_9"/>
              </w:rPr>
              <w:t xml:space="preserve">Granada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Granada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2017 - 01 febrero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octubre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abril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2050</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2040</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marzo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Japón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Jordania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Kazajstán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octubre 2022</w:t>
            </w:r>
          </w:p>
        </w:tc>
      </w:tr>
      <w:tr>
        <w:trPr/>
        <w:tc>
          <w:tcPr>
            <w:tcW w:w="5000" w:type="dxa"/>
          </w:tcPr>
          <w:p>
            <w:pPr/>
            <w:r>
              <w:rPr>
                <w:rStyle w:val="verdana_9"/>
              </w:rPr>
              <w:t xml:space="preserve">Kazajstán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8 septiembre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Kuwait, Estado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tcPr>
          <w:p>
            <w:pPr/>
            <w:r>
              <w:rPr>
                <w:rStyle w:val="verdana_9"/>
              </w:rPr>
              <w:t xml:space="preserve">Kuwait, Estado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tcPr>
          <w:p>
            <w:pPr/>
            <w:r>
              <w:rPr>
                <w:rStyle w:val="verdana_9"/>
              </w:rPr>
              <w:t xml:space="preserve">Letonia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13 noviembre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tcPr>
          <w:p>
            <w:pPr/>
            <w:r>
              <w:rPr>
                <w:rStyle w:val="verdana_9"/>
              </w:rPr>
              <w:t xml:space="preserve">Malasia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Maldivas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julio 2019</w:t>
            </w:r>
          </w:p>
        </w:tc>
      </w:tr>
      <w:tr>
        <w:trPr/>
        <w:tc>
          <w:tcPr>
            <w:tcW w:w="5000" w:type="dxa"/>
          </w:tcPr>
          <w:p>
            <w:pPr/>
            <w:r>
              <w:rPr>
                <w:rStyle w:val="verdana_9"/>
              </w:rPr>
              <w:t xml:space="preserve">Maldivas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Maldivas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Maldivas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Marruecos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2026</w:t>
            </w:r>
          </w:p>
        </w:tc>
      </w:tr>
      <w:tr>
        <w:trPr/>
        <w:tc>
          <w:tcPr>
            <w:tcW w:w="5000" w:type="dxa"/>
          </w:tcPr>
          <w:p>
            <w:pPr/>
            <w:r>
              <w:rPr>
                <w:rStyle w:val="verdana_9"/>
              </w:rPr>
              <w:t xml:space="preserve">Mauricio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2019</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México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Moldova,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2019</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2024</w:t>
            </w:r>
          </w:p>
        </w:tc>
      </w:tr>
      <w:tr>
        <w:trPr/>
        <w:tc>
          <w:tcPr>
            <w:tcW w:w="5000" w:type="dxa"/>
          </w:tcPr>
          <w:p>
            <w:pPr/>
            <w:r>
              <w:rPr>
                <w:rStyle w:val="verdana_9"/>
              </w:rPr>
              <w:t xml:space="preserve">Noruega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Pakistán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2019</w:t>
            </w:r>
          </w:p>
        </w:tc>
      </w:tr>
      <w:tr>
        <w:trPr/>
        <w:tc>
          <w:tcPr>
            <w:tcW w:w="5000" w:type="dxa"/>
          </w:tcPr>
          <w:p>
            <w:pPr/>
            <w:r>
              <w:rPr>
                <w:rStyle w:val="verdana_9"/>
              </w:rPr>
              <w:t xml:space="preserve">Panamá</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junio 2022</w:t>
            </w:r>
          </w:p>
        </w:tc>
      </w:tr>
      <w:tr>
        <w:trPr/>
        <w:tc>
          <w:tcPr>
            <w:tcW w:w="5000" w:type="dxa"/>
          </w:tcPr>
          <w:p>
            <w:pPr/>
            <w:r>
              <w:rPr>
                <w:rStyle w:val="verdana_9"/>
              </w:rPr>
              <w:t xml:space="preserve">Panamá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enero 2022</w:t>
            </w:r>
          </w:p>
        </w:tc>
      </w:tr>
      <w:tr>
        <w:trPr/>
        <w:tc>
          <w:tcPr>
            <w:tcW w:w="5000" w:type="dxa"/>
          </w:tcPr>
          <w:p>
            <w:pPr/>
            <w:r>
              <w:rPr>
                <w:rStyle w:val="verdana_9"/>
              </w:rPr>
              <w:t xml:space="preserve">Panamá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Panamá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Papua Nueva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Papua Nueva Guinea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01 septiembre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2021</w:t>
            </w:r>
          </w:p>
        </w:tc>
      </w:tr>
      <w:tr>
        <w:trPr/>
        <w:tc>
          <w:tcPr>
            <w:tcW w:w="5000" w:type="dxa"/>
          </w:tcPr>
          <w:p>
            <w:pPr/>
            <w:r>
              <w:rPr>
                <w:rStyle w:val="verdana_9"/>
              </w:rPr>
              <w:t xml:space="preserve">Perú</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Checa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Dominicana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República Dominicana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República Kirguisa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República Kirguisa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Rumania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tcPr>
          <w:p>
            <w:pPr/>
            <w:r>
              <w:rPr>
                <w:rStyle w:val="verdana_9"/>
              </w:rPr>
              <w:t xml:space="preserve">Saint Kitts y Nevis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2017</w:t>
            </w:r>
          </w:p>
        </w:tc>
      </w:tr>
      <w:tr>
        <w:trPr/>
        <w:tc>
          <w:tcPr>
            <w:tcW w:w="5000" w:type="dxa"/>
          </w:tcPr>
          <w:p>
            <w:pPr/>
            <w:r>
              <w:rPr>
                <w:rStyle w:val="verdana_9"/>
              </w:rPr>
              <w:t xml:space="preserve">Saint Kitts y Nevis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Saint Kitts y Nevis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Saint Kitts y Nevis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junio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San Vicente y las Granadinas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San Vicente y las Granadinas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2023</w:t>
            </w:r>
          </w:p>
        </w:tc>
      </w:tr>
      <w:tr>
        <w:trPr/>
        <w:tc>
          <w:tcPr>
            <w:tcW w:w="5000" w:type="dxa"/>
          </w:tcPr>
          <w:p>
            <w:pPr/>
            <w:r>
              <w:rPr>
                <w:rStyle w:val="verdana_9"/>
              </w:rPr>
              <w:t xml:space="preserve">Santa Lucía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Santa Lucía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octubre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Singapur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Sudáfrica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febrero 2038</w:t>
            </w:r>
          </w:p>
        </w:tc>
      </w:tr>
      <w:tr>
        <w:trPr/>
        <w:tc>
          <w:tcPr>
            <w:tcW w:w="5000" w:type="dxa"/>
          </w:tcPr>
          <w:p>
            <w:pPr/>
            <w:r>
              <w:rPr>
                <w:rStyle w:val="verdana_9"/>
              </w:rPr>
              <w:t xml:space="preserve">Sudáfrica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Tailandia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2020</w:t>
            </w:r>
          </w:p>
        </w:tc>
      </w:tr>
      <w:tr>
        <w:trPr/>
        <w:tc>
          <w:tcPr>
            <w:tcW w:w="5000" w:type="dxa"/>
          </w:tcPr>
          <w:p>
            <w:pPr/>
            <w:r>
              <w:rPr>
                <w:rStyle w:val="verdana_9"/>
              </w:rPr>
              <w:t xml:space="preserve">Taipei Chino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diciembre 2028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tcPr>
          <w:p>
            <w:pPr/>
            <w:r>
              <w:rPr>
                <w:rStyle w:val="verdana_9"/>
              </w:rPr>
              <w:t xml:space="preserve">Tayikistán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Tayikistán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2023</w:t>
            </w:r>
          </w:p>
        </w:tc>
      </w:tr>
      <w:tr>
        <w:trPr/>
        <w:tc>
          <w:tcPr>
            <w:tcW w:w="5000" w:type="dxa"/>
          </w:tcPr>
          <w:p>
            <w:pPr/>
            <w:r>
              <w:rPr>
                <w:rStyle w:val="verdana_9"/>
              </w:rPr>
              <w:t xml:space="preserve">Tayikistán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Tayikistán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2019</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Trinidad y Tabago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Túnez</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Túnez</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Ucrania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Ucrania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Ucrania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2019</w:t>
            </w:r>
          </w:p>
        </w:tc>
      </w:tr>
      <w:tr>
        <w:trPr/>
        <w:tc>
          <w:tcPr>
            <w:tcW w:w="5000" w:type="dxa"/>
          </w:tcPr>
          <w:p>
            <w:pPr/>
            <w:r>
              <w:rPr>
                <w:rStyle w:val="verdana_9"/>
              </w:rPr>
              <w:t xml:space="preserve">Ucrania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2021</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julio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julio 2023</w:t>
            </w:r>
          </w:p>
        </w:tc>
      </w:tr>
      <w:tr>
        <w:trPr/>
        <w:tc>
          <w:tcPr>
            <w:tcW w:w="5000" w:type="dxa"/>
          </w:tcPr>
          <w:p>
            <w:pPr/>
            <w:r>
              <w:rPr>
                <w:rStyle w:val="verdana_9"/>
              </w:rPr>
              <w:t xml:space="preserve">Unión Europea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Venezuela, República Bolivariana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bl>
    <w:p>
      <w:pPr/>
      <w:r>
        <w:rPr/>
        <w:t xml:space="preserve"/>
      </w:r>
    </w:p>
    <w:p>
      <w:pPr/>
      <w:r>
        <w:rPr>
          <w:rStyle w:val="verdana_9_bold"/>
        </w:rPr>
        <w:t xml:space="preserve">Leyenda</w:t>
      </w:r>
    </w:p>
    <w:p>
      <w:pPr>
        <w:pStyle w:val="less_spacing_paragraph"/>
      </w:pPr>
      <w:r>
        <w:rPr>
          <w:rStyle w:val="verdana_9_bg_grey"/>
        </w:rPr>
        <w:t xml:space="preserve">Los Miembros resaltados en gris son PMA</w:t>
      </w:r>
    </w:p>
    <w:p>
      <w:pPr>
        <w:sectPr>
          <w:pgSz w:orient="portrait" w:w="11905.511811023622" w:h="16837.79527559055"/>
          <w:pgMar w:top="1140" w:right="1440" w:bottom="1140" w:left="1440" w:header="720" w:footer="720" w:gutter="0"/>
          <w:cols w:num="1" w:space="720"/>
        </w:sectPr>
      </w:pPr>
    </w:p>
    <w:p>
      <w:pPr/>
      <w:r>
        <w:rPr>
          <w:rStyle w:val="verdana_10_bold"/>
        </w:rPr>
        <w:t xml:space="preserve">3. RESUMEN DE LAS NOTIFICACIONES PRESENTADAS EN VIRTUD DE LOS ARTÍCULOS 22.1 Y 22.2 </w:t>
      </w:r>
      <w:r>
        <w:rPr>
          <w:rStyle w:val="verdana_10"/>
        </w:rPr>
        <w:t xml:space="preserve"> - ASISTENCIA Y APOYO PARA LA CREACIÓN DE CAPACIDAD PRESTADOS POR LOS MIEMBROS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Asistencia y apoyo para la creación de capacidad prestados por los Miembros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Miembros que han presentado notificaciones</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Miembro</w:t>
            </w:r>
          </w:p>
        </w:tc>
        <w:tc>
          <w:tcPr>
            <w:tcW w:w="1700" w:type="dxa"/>
            <w:vAlign w:val="center"/>
          </w:tcPr>
          <w:p>
            <w:pPr>
              <w:jc w:val="center"/>
            </w:pPr>
            <w:r>
              <w:rPr>
                <w:rFonts w:ascii="Verdana" w:hAnsi="Verdana" w:eastAsia="Verdana" w:cs="Verdana"/>
                <w:sz w:val="18"/>
                <w:szCs w:val="18"/>
                <w:b w:val="1"/>
                <w:bCs w:val="1"/>
              </w:rPr>
              <w:t xml:space="preserve">Art. 22.1
(2016 período abarcado)</w:t>
            </w:r>
          </w:p>
        </w:tc>
        <w:tc>
          <w:tcPr>
            <w:tcW w:w="1700" w:type="dxa"/>
            <w:vAlign w:val="center"/>
          </w:tcPr>
          <w:p>
            <w:pPr>
              <w:jc w:val="center"/>
            </w:pPr>
            <w:r>
              <w:rPr>
                <w:rFonts w:ascii="Verdana" w:hAnsi="Verdana" w:eastAsia="Verdana" w:cs="Verdana"/>
                <w:sz w:val="18"/>
                <w:szCs w:val="18"/>
                <w:b w:val="1"/>
                <w:bCs w:val="1"/>
              </w:rPr>
              <w:t xml:space="preserve">Art. 22.1
(2017 período abarcado)</w:t>
            </w:r>
          </w:p>
        </w:tc>
        <w:tc>
          <w:tcPr>
            <w:tcW w:w="1700" w:type="dxa"/>
            <w:vAlign w:val="center"/>
          </w:tcPr>
          <w:p>
            <w:pPr>
              <w:jc w:val="center"/>
            </w:pPr>
            <w:r>
              <w:rPr>
                <w:rFonts w:ascii="Verdana" w:hAnsi="Verdana" w:eastAsia="Verdana" w:cs="Verdana"/>
                <w:sz w:val="18"/>
                <w:szCs w:val="18"/>
                <w:b w:val="1"/>
                <w:bCs w:val="1"/>
              </w:rPr>
              <w:t xml:space="preserve">Art. 22.1
(2017 fecha de presentación)</w:t>
            </w:r>
          </w:p>
        </w:tc>
        <w:tc>
          <w:tcPr>
            <w:tcW w:w="1700" w:type="dxa"/>
            <w:vAlign w:val="center"/>
          </w:tcPr>
          <w:p>
            <w:pPr>
              <w:jc w:val="center"/>
            </w:pPr>
            <w:r>
              <w:rPr>
                <w:rFonts w:ascii="Verdana" w:hAnsi="Verdana" w:eastAsia="Verdana" w:cs="Verdana"/>
                <w:sz w:val="18"/>
                <w:szCs w:val="18"/>
                <w:b w:val="1"/>
                <w:bCs w:val="1"/>
              </w:rPr>
              <w:t xml:space="preserve">Art. 22.1
(2018 período abarcado)</w:t>
            </w:r>
          </w:p>
        </w:tc>
        <w:tc>
          <w:tcPr>
            <w:tcW w:w="1700" w:type="dxa"/>
            <w:vAlign w:val="center"/>
          </w:tcPr>
          <w:p>
            <w:pPr>
              <w:jc w:val="center"/>
            </w:pPr>
            <w:r>
              <w:rPr>
                <w:rFonts w:ascii="Verdana" w:hAnsi="Verdana" w:eastAsia="Verdana" w:cs="Verdana"/>
                <w:sz w:val="18"/>
                <w:szCs w:val="18"/>
                <w:b w:val="1"/>
                <w:bCs w:val="1"/>
              </w:rPr>
              <w:t xml:space="preserve">Art. 22.1
(2018 fecha de presentación)</w:t>
            </w:r>
          </w:p>
        </w:tc>
        <w:tc>
          <w:tcPr>
            <w:tcW w:w="1700" w:type="dxa"/>
            <w:vAlign w:val="center"/>
          </w:tcPr>
          <w:p>
            <w:pPr>
              <w:jc w:val="center"/>
            </w:pPr>
            <w:r>
              <w:rPr>
                <w:rFonts w:ascii="Verdana" w:hAnsi="Verdana" w:eastAsia="Verdana" w:cs="Verdana"/>
                <w:sz w:val="18"/>
                <w:szCs w:val="18"/>
                <w:b w:val="1"/>
                <w:bCs w:val="1"/>
              </w:rPr>
              <w:t xml:space="preserve">Art. 22.1
(2019 período abarcado)</w:t>
            </w:r>
          </w:p>
        </w:tc>
        <w:tc>
          <w:tcPr>
            <w:tcW w:w="1700" w:type="dxa"/>
            <w:vAlign w:val="center"/>
          </w:tcPr>
          <w:p>
            <w:pPr>
              <w:jc w:val="center"/>
            </w:pPr>
            <w:r>
              <w:rPr>
                <w:rFonts w:ascii="Verdana" w:hAnsi="Verdana" w:eastAsia="Verdana" w:cs="Verdana"/>
                <w:sz w:val="18"/>
                <w:szCs w:val="18"/>
                <w:b w:val="1"/>
                <w:bCs w:val="1"/>
              </w:rPr>
              <w:t xml:space="preserve">Art. 22.1
(2019 fecha de presentación)</w:t>
            </w:r>
          </w:p>
        </w:tc>
        <w:tc>
          <w:tcPr>
            <w:tcW w:w="1700" w:type="dxa"/>
            <w:vAlign w:val="center"/>
          </w:tcPr>
          <w:p>
            <w:pPr>
              <w:jc w:val="center"/>
            </w:pPr>
            <w:r>
              <w:rPr>
                <w:rFonts w:ascii="Verdana" w:hAnsi="Verdana" w:eastAsia="Verdana" w:cs="Verdana"/>
                <w:sz w:val="18"/>
                <w:szCs w:val="18"/>
                <w:b w:val="1"/>
                <w:bCs w:val="1"/>
              </w:rPr>
              <w:t xml:space="preserve">Art. 22.1
(2020 período abarcado)</w:t>
            </w:r>
          </w:p>
        </w:tc>
        <w:tc>
          <w:tcPr>
            <w:tcW w:w="1700" w:type="dxa"/>
            <w:vAlign w:val="center"/>
          </w:tcPr>
          <w:p>
            <w:pPr>
              <w:jc w:val="center"/>
            </w:pPr>
            <w:r>
              <w:rPr>
                <w:rFonts w:ascii="Verdana" w:hAnsi="Verdana" w:eastAsia="Verdana" w:cs="Verdana"/>
                <w:sz w:val="18"/>
                <w:szCs w:val="18"/>
                <w:b w:val="1"/>
                <w:bCs w:val="1"/>
              </w:rPr>
              <w:t xml:space="preserve">Art. 22.1
(2020 fecha de presentación)</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Alemania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Australia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Bélgica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Canadá</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Chipre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Croacia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Dinamarca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España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Estados Unidos de América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Finlandia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Francia</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Grecia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Hungría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Irlanda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Italia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Japón</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Letonia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Lituania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Luxemburgo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Noruega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Nueva Zelandia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Países Bajos</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Polonia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Reino Unido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República Checa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República Eslovaca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Rumania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Suecia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Suiza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Territorio Aduanero Distinto de Taiwán, Penghu, Kinmen y Matsu (Taipei Chino)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Unión Europea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NOTIFICACIONES EN VIRTUD DEL ARTÍCULO 22.3 </w:t>
      </w:r>
      <w:r>
        <w:rPr>
          <w:rStyle w:val="verdana_10"/>
        </w:rPr>
        <w:t xml:space="preserve"> - PUNTOS DE CONTACTO DE MIEMBROS EN DESARROLLO Y PMA QUE SOLICITAN ASISTENCIA TÉCNICA Y APOYO PARA LA CREACIÓN DE CAPACIDAD</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Puntos de contacto de los Miembros que solicitan asistencia técnica y apoyo para la creación de capacidad</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Miembros que han notificado compromisos de la categoría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Miembros que han presentado notificaciones en virtud del artículo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Miembros que no han presentado notificaciones en virtud del artículo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Miembro</w:t>
            </w:r>
          </w:p>
        </w:tc>
        <w:tc>
          <w:tcPr>
            <w:tcW w:w="3000" w:type="dxa"/>
            <w:vAlign w:val="center"/>
          </w:tcPr>
          <w:p>
            <w:pPr>
              <w:jc w:val="center"/>
            </w:pPr>
            <w:r>
              <w:rPr>
                <w:rFonts w:ascii="Verdana" w:hAnsi="Verdana" w:eastAsia="Verdana" w:cs="Verdana"/>
                <w:sz w:val="18"/>
                <w:szCs w:val="18"/>
                <w:b w:val="1"/>
                <w:bCs w:val="1"/>
              </w:rPr>
              <w:t xml:space="preserve">Ratificación</w:t>
            </w:r>
          </w:p>
        </w:tc>
        <w:tc>
          <w:tcPr>
            <w:tcW w:w="4500" w:type="dxa"/>
            <w:vAlign w:val="center"/>
          </w:tcPr>
          <w:p>
            <w:pPr>
              <w:jc w:val="center"/>
            </w:pPr>
            <w:r>
              <w:rPr>
                <w:rFonts w:ascii="Verdana" w:hAnsi="Verdana" w:eastAsia="Verdana" w:cs="Verdana"/>
                <w:sz w:val="18"/>
                <w:szCs w:val="18"/>
                <w:b w:val="1"/>
                <w:bCs w:val="1"/>
              </w:rPr>
              <w:t xml:space="preserve">Compromisos de la categoría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Afganistán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Albania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Antigua y Barbuda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Armenia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Bahrein, Reino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Barbados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Belice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Bolivia, Estado Plurinacional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Cabo Verde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Camboya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Camerún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Comoras</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Congo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Côte d'Ivoire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Cuba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Dominica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Ecuador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Egipto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El Salvador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Eswatini, Reino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Fiji</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Filipinas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Gabón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Georgia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Granada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Guatemala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Honduras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Islas Salomón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Jordania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Kazajstán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Maldivas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Malí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Marruecos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Mauricio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Moldova, República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Mongolia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Montenegro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Namibia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Nicaragua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Níger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Nigeria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Panamá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Papua Nueva Guinea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Perú</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Centroafricana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República Democrática Popular Lao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República Democrática del Congo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República Dominicana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República Kirguisa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Saint Kitts y Nevis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Samoa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San Vicente y las Granadinas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Santa Lucía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Seychelles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Sierra Leona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Tanzanía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Tayikistán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Trinidad y Tabago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Túnez</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Ucrania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Vanuatu</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Viet Nam</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Zimbabwe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bl>
    <w:p>
      <w:pPr/>
      <w:r>
        <w:rPr>
          <w:rStyle w:val="verdana_9"/>
        </w:rPr>
        <w:t xml:space="preserve"/>
      </w:r>
    </w:p>
    <w:p>
      <w:pPr/>
      <w:r>
        <w:rPr>
          <w:rStyle w:val="verdana_9_bold"/>
        </w:rPr>
        <w:t xml:space="preserve">Updated on 27 marzo 2026</w:t>
      </w:r>
      <w:r>
        <w:rPr>
          <w:rStyle w:val="verdana_9"/>
        </w:rPr>
        <w:t xml:space="preserve"> (date of the last notification received)</w:t>
      </w:r>
    </w:p>
    <w:p>
      <w:pPr/>
      <w:r>
        <w:rPr>
          <w:rStyle w:val="verdana_9"/>
        </w:rPr>
        <w:t xml:space="preserve">Para más información sobre las notificaciones, visite el siguiente sitio web:</w:t>
      </w:r>
    </w:p>
    <w:p>
      <w:hyperlink r:id="rId7" w:history="1">
        <w:r>
          <w:rPr>
            <w:rStyle w:val="verdana_10_blue"/>
          </w:rPr>
          <w:t xml:space="preserve">www.tfadatabase.org</w:t>
        </w:r>
      </w:hyperlink>
    </w:p>
    <w:p>
      <w:pPr/>
      <w:r>
        <w:rPr>
          <w:rStyle w:val="verdana_9"/>
        </w:rPr>
        <w:t xml:space="preserve">La versión en línea de esta matriz está disponible en:</w:t>
      </w:r>
    </w:p>
    <w:p>
      <w:hyperlink r:id="rId8" w:history="1">
        <w:r>
          <w:rPr>
            <w:rStyle w:val="verdana_10_blue"/>
          </w:rPr>
          <w:t xml:space="preserve">https://www.tfadatabase.org/notifications-matrix</w:t>
        </w:r>
      </w:hyperlink>
    </w:p>
    <w:p>
      <w:pPr/>
      <w:r>
        <w:rPr>
          <w:rStyle w:val="verdana_9"/>
        </w:rPr>
        <w:t xml:space="preserve">La Secretaría de la OMC está a disposición de los Miembros que necesiten asistencia en el proceso de notificación.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 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w:t>
      </w:r>
    </w:p>
  </w:footnote>
  <w:footnote w:id="2">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3">
    <w:p>
      <w:r>
        <w:rPr>
          <w:rStyle w:val="FootnoteReference"/>
        </w:rPr>
        <w:footnoteRef/>
      </w:r>
      <w:r>
        <w:t xml:space="preserve"> </w:t>
      </w:r>
      <w:r>
        <w:rPr>
          <w:rStyle w:val="verdana_8"/>
        </w:rPr>
        <w:t xml:space="preserve">Venezuela, República Bolivariana de, Venezuela, República Bolivariana de</w:t>
      </w:r>
    </w:p>
  </w:footnote>
  <w:footnote w:id="4">
    <w:p>
      <w:r>
        <w:rPr>
          <w:rStyle w:val="FootnoteReference"/>
        </w:rPr>
        <w:footnoteRef/>
      </w:r>
      <w:r>
        <w:t xml:space="preserve"> </w:t>
      </w:r>
      <w:r>
        <w:rPr>
          <w:rStyle w:val="verdana_8"/>
        </w:rPr>
        <w:t xml:space="preserve">Guinea-Bissau, Haití, Yemen, Guinea-Bissau, Haití, Yemen</w:t>
      </w:r>
    </w:p>
  </w:footnote>
  <w:footnote w:id="5">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w:t>
      </w:r>
    </w:p>
  </w:footnote>
  <w:footnote w:id="6">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9">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0">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w:t>
      </w:r>
    </w:p>
  </w:footnote>
  <w:footnote w:id="11">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12">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3">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4">
    <w:p>
      <w:r>
        <w:rPr>
          <w:rStyle w:val="FootnoteReference"/>
        </w:rPr>
        <w:footnoteRef/>
      </w:r>
      <w:r>
        <w:t xml:space="preserve"> </w:t>
      </w:r>
      <w:r>
        <w:rPr>
          <w:rStyle w:val="verdana_8"/>
        </w:rPr>
        <w:t xml:space="preserve">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5">
    <w:p>
      <w:r>
        <w:rPr>
          <w:rStyle w:val="FootnoteReference"/>
        </w:rPr>
        <w:footnoteRef/>
      </w:r>
      <w:r>
        <w:t xml:space="preserve"> </w:t>
      </w:r>
      <w:r>
        <w:rPr>
          <w:rStyle w:val="verdana_8"/>
        </w:rPr>
        <w:t xml:space="preserve">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Estado Plurinacional de , Bolivia, Estado Plurinacional de </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0">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 w:id="21">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2">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2026-04-07T19:50:56+00:00</dcterms:created>
  <dcterms:modified xsi:type="dcterms:W3CDTF">2026-04-07T19:50:56+00:00</dcterms:modified>
</cp:coreProperties>
</file>

<file path=docProps/custom.xml><?xml version="1.0" encoding="utf-8"?>
<Properties xmlns="http://schemas.openxmlformats.org/officeDocument/2006/custom-properties" xmlns:vt="http://schemas.openxmlformats.org/officeDocument/2006/docPropsVTypes"/>
</file>