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MATRICE DES NOTIFICATIONS PRÉSENTÉS AU TITRE DE L'ACCORD SUR LA FACILITATION DES ÉCHANGES (AFE)</w:t>
      </w:r>
    </w:p>
    <w:p>
      <w:pPr/>
      <w:r>
        <w:rPr/>
        <w:t xml:space="preserve"/>
      </w:r>
    </w:p>
    <w:p>
      <w:pPr/>
      <w:r>
        <w:rPr>
          <w:rStyle w:val="verdana_9"/>
        </w:rPr>
        <w:t xml:space="preserve">La matrice est divisée en quatre sections correspondant aux différentes prescriptions en matière de notification établies dans l'AFE.</w:t>
      </w:r>
    </w:p>
    <w:p>
      <w:pPr/>
      <w:r>
        <w:rPr>
          <w:rStyle w:val="verdana_9_bold"/>
        </w:rPr>
        <w:t xml:space="preserve">1. Notifications en matière de mise en œuvre  </w:t>
      </w:r>
      <w:r>
        <w:rPr>
          <w:rStyle w:val="verdana_9"/>
        </w:rPr>
        <w:t xml:space="preserve">(catégories A, B et C)</w:t>
      </w:r>
      <w:r>
        <w:rPr>
          <w:rStyle w:val="verdana_9"/>
        </w:rPr>
        <w:t xml:space="preserve">…………………………………………………………</w:t>
      </w:r>
      <w:r>
        <w:rPr>
          <w:rStyle w:val="verdana_9"/>
        </w:rPr>
        <w:t xml:space="preserve">aller à la page 4</w:t>
      </w:r>
    </w:p>
    <w:p>
      <w:pPr/>
      <w:r>
        <w:rPr>
          <w:rStyle w:val="verdana_9"/>
        </w:rPr>
        <w:t xml:space="preserve">Un tableau récapitulatif montre le statut des notifications pour chaque prescription. Pour plus de commodité, la date à laquelle la notification était attendue est indiquée dans l'intitulé de chaque section. Les chiffres rendent compte du nombre de Membres qui ont notifié TOUTES leurs désignations pour les différentes catégories, CERTAINES désignations, ou AUCUNE. Ces renseignements sont ventilés comme suit:</w:t>
      </w:r>
    </w:p>
    <w:tbl>
      <w:tblGrid>
        <w:gridCol w:w="3000" w:type="dxa"/>
        <w:gridCol w:w="8500" w:type="dxa"/>
      </w:tblGrid>
      <w:tblPr>
        <w:tblStyle w:val="IntroTable"/>
      </w:tblPr>
      <w:tr>
        <w:trPr/>
        <w:tc>
          <w:tcPr>
            <w:tcW w:w="3000" w:type="dxa"/>
          </w:tcPr>
          <w:p>
            <w:pPr>
              <w:pStyle w:val="no_spacing_paragraph"/>
            </w:pPr>
            <w:r>
              <w:rPr>
                <w:rStyle w:val="verdana_9"/>
              </w:rPr>
              <w:t xml:space="preserve">Total</w:t>
            </w:r>
          </w:p>
        </w:tc>
        <w:tc>
          <w:tcPr>
            <w:tcW w:w="8500" w:type="dxa"/>
          </w:tcPr>
          <w:p>
            <w:pPr>
              <w:pStyle w:val="no_spacing_paragraph"/>
            </w:pPr>
            <w:r>
              <w:rPr>
                <w:rStyle w:val="verdana_9"/>
              </w:rPr>
              <w:t xml:space="preserve">Ensemble des pays en développement et des PMA Membres</w:t>
            </w:r>
          </w:p>
        </w:tc>
      </w:tr>
      <w:tr>
        <w:trPr/>
        <w:tc>
          <w:tcPr>
            <w:tcW w:w="3000" w:type="dxa"/>
          </w:tcPr>
          <w:p>
            <w:pPr>
              <w:pStyle w:val="no_spacing_paragraph"/>
            </w:pPr>
            <w:r>
              <w:rPr>
                <w:rStyle w:val="verdana_9"/>
              </w:rPr>
              <w:t xml:space="preserve">Pays en développement</w:t>
            </w:r>
          </w:p>
        </w:tc>
        <w:tc>
          <w:tcPr>
            <w:tcW w:w="8500" w:type="dxa"/>
          </w:tcPr>
          <w:p>
            <w:pPr>
              <w:pStyle w:val="no_spacing_paragraph"/>
            </w:pPr>
            <w:r>
              <w:rPr>
                <w:rStyle w:val="verdana_9"/>
              </w:rPr>
              <w:t xml:space="preserve">Pays en développement Membres seulement</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PMA Membres seulement</w:t>
            </w:r>
          </w:p>
        </w:tc>
      </w:tr>
    </w:tbl>
    <w:p>
      <w:pPr/>
      <w:r>
        <w:rPr>
          <w:rStyle w:val="verdana_9"/>
        </w:rPr>
        <w:t xml:space="preserve"/>
      </w:r>
    </w:p>
    <w:p>
      <w:pPr/>
      <w:r>
        <w:rPr>
          <w:rStyle w:val="verdana_9"/>
        </w:rPr>
        <w:t xml:space="preserve">La liste des Membres concernés présente leur statut respectif en matière de notification. Le contenu des colonnes indique:</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ratifié l'AFE ou pas</w:t>
            </w:r>
          </w:p>
        </w:tc>
      </w:tr>
      <w:tr>
        <w:trPr/>
        <w:tc>
          <w:tcPr>
            <w:tcW w:w="3000" w:type="dxa"/>
          </w:tcPr>
          <w:p>
            <w:pPr>
              <w:pStyle w:val="no_spacing_paragraph"/>
            </w:pPr>
            <w:r>
              <w:rPr>
                <w:rStyle w:val="verdana_9"/>
              </w:rPr>
              <w:t xml:space="preserve">Désignations en suspens</w:t>
            </w:r>
          </w:p>
        </w:tc>
        <w:tc>
          <w:tcPr>
            <w:tcW w:w="8500" w:type="dxa"/>
          </w:tcPr>
          <w:p>
            <w:pPr>
              <w:pStyle w:val="no_spacing_paragraph"/>
            </w:pPr>
            <w:r>
              <w:rPr>
                <w:rStyle w:val="verdana_9_bold"/>
              </w:rPr>
              <w:t xml:space="preserve">toutes</w:t>
            </w:r>
            <w:r>
              <w:rPr>
                <w:rStyle w:val="verdana_9_bold"/>
              </w:rPr>
              <w:t xml:space="preserve"> = </w:t>
            </w:r>
            <w:r>
              <w:rPr>
                <w:rStyle w:val="verdana_9"/>
              </w:rPr>
              <w:t xml:space="preserve">aucune désignation ne doit être notifiée</w:t>
            </w:r>
          </w:p>
          <w:p>
            <w:pPr>
              <w:pStyle w:val="no_spacing_paragraph"/>
            </w:pPr>
            <w:r>
              <w:rPr>
                <w:rStyle w:val="verdana_9_bold"/>
              </w:rPr>
              <w:t xml:space="preserve">certaines</w:t>
            </w:r>
            <w:r>
              <w:rPr>
                <w:rStyle w:val="verdana_9_bold"/>
              </w:rPr>
              <w:t xml:space="preserve"> = </w:t>
            </w:r>
            <w:r>
              <w:rPr>
                <w:rStyle w:val="verdana_9"/>
              </w:rPr>
              <w:t xml:space="preserve">certaines désignations doivent encore être notifiées</w:t>
            </w:r>
          </w:p>
          <w:p>
            <w:pPr>
              <w:pStyle w:val="no_spacing_paragraph"/>
            </w:pPr>
            <w:r>
              <w:rPr>
                <w:rStyle w:val="verdana_9_bold"/>
              </w:rPr>
              <w:t xml:space="preserve">aucune</w:t>
            </w:r>
            <w:r>
              <w:rPr>
                <w:rStyle w:val="verdana_9_bold"/>
              </w:rPr>
              <w:t xml:space="preserve"> = </w:t>
            </w:r>
            <w:r>
              <w:rPr>
                <w:rStyle w:val="verdana_9"/>
              </w:rPr>
              <w:t xml:space="preserve">toutes les désignations doivent encore être notifiées</w:t>
            </w:r>
          </w:p>
        </w:tc>
      </w:tr>
      <w:tr>
        <w:trPr/>
        <w:tc>
          <w:tcPr>
            <w:tcW w:w="3000" w:type="dxa"/>
          </w:tcPr>
          <w:p>
            <w:pPr>
              <w:pStyle w:val="no_spacing_paragraph"/>
            </w:pPr>
            <w:r>
              <w:rPr>
                <w:rStyle w:val="verdana_9"/>
              </w:rPr>
              <w:t xml:space="preserve">Dates de mise en œuvre</w:t>
            </w:r>
          </w:p>
          <w:p>
            <w:pPr>
              <w:pStyle w:val="no_spacing_paragraph"/>
            </w:pPr>
            <w:r>
              <w:rPr>
                <w:rStyle w:val="verdana_9"/>
              </w:rPr>
              <w:t xml:space="preserve">IND = Indicative</w:t>
            </w:r>
          </w:p>
          <w:p>
            <w:pPr>
              <w:pStyle w:val="no_spacing_paragraph"/>
            </w:pPr>
            <w:r>
              <w:rPr>
                <w:rStyle w:val="verdana_9"/>
              </w:rPr>
              <w:t xml:space="preserve">DEF = Définitive</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le Membre a notifié toutes les dates dans la catégorie</w:t>
            </w:r>
          </w:p>
          <w:p>
            <w:pPr>
              <w:pStyle w:val="no_spacing_paragraph"/>
            </w:pPr>
            <w:r>
              <w:rPr>
                <w:rStyle w:val="verdana_9_bold"/>
              </w:rPr>
              <w:t xml:space="preserve">Non</w:t>
            </w:r>
            <w:r>
              <w:rPr>
                <w:rStyle w:val="verdana_9_bold"/>
              </w:rPr>
              <w:t xml:space="preserve"> = </w:t>
            </w:r>
            <w:r>
              <w:rPr>
                <w:rStyle w:val="verdana_9"/>
              </w:rPr>
              <w:t xml:space="preserve">le Membre n'a pas notifié de date dans la catégorie</w:t>
            </w:r>
          </w:p>
          <w:p>
            <w:pPr>
              <w:pStyle w:val="no_spacing_paragraph"/>
            </w:pPr>
            <w:r>
              <w:rPr>
                <w:rStyle w:val="verdana_9_bold"/>
              </w:rPr>
              <w:t xml:space="preserve">Certaines</w:t>
            </w:r>
            <w:r>
              <w:rPr>
                <w:rStyle w:val="verdana_9_bold"/>
              </w:rPr>
              <w:t xml:space="preserve"> = </w:t>
            </w:r>
            <w:r>
              <w:rPr>
                <w:rStyle w:val="verdana_9"/>
              </w:rPr>
              <w:t xml:space="preserve">le Membre a notifié certaines dates dans la catégorie</w:t>
            </w:r>
          </w:p>
          <w:p>
            <w:pPr>
              <w:pStyle w:val="no_spacing_paragraph"/>
            </w:pPr>
            <w:r>
              <w:rPr>
                <w:rStyle w:val="verdana_9_bold"/>
              </w:rPr>
              <w:t xml:space="preserve">s/o</w:t>
            </w:r>
            <w:r>
              <w:rPr>
                <w:rStyle w:val="verdana_9_bold"/>
              </w:rPr>
              <w:t xml:space="preserve"> = </w:t>
            </w:r>
            <w:r>
              <w:rPr>
                <w:rStyle w:val="verdana_9"/>
              </w:rPr>
              <w:t xml:space="preserve">sans objet</w:t>
            </w:r>
          </w:p>
        </w:tc>
      </w:tr>
      <w:tr>
        <w:trPr/>
        <w:tc>
          <w:tcPr>
            <w:tcW w:w="3000" w:type="dxa"/>
          </w:tcPr>
          <w:p>
            <w:pPr>
              <w:pStyle w:val="no_spacing_paragraph"/>
            </w:pPr>
            <w:r>
              <w:rPr>
                <w:rStyle w:val="verdana_9"/>
              </w:rPr>
              <w:t xml:space="preserve">Notifications en matière d'ATRC (assistance technique et renforcement des capacités)</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le Membre a notifié tous ses besoins en matière d'ATRC</w:t>
            </w:r>
          </w:p>
          <w:p>
            <w:pPr>
              <w:pStyle w:val="no_spacing_paragraph"/>
            </w:pPr>
            <w:r>
              <w:rPr>
                <w:rStyle w:val="verdana_9_bold"/>
              </w:rPr>
              <w:t xml:space="preserve">Non</w:t>
            </w:r>
            <w:r>
              <w:rPr>
                <w:rStyle w:val="verdana_9_bold"/>
              </w:rPr>
              <w:t xml:space="preserve"> = </w:t>
            </w:r>
            <w:r>
              <w:rPr>
                <w:rStyle w:val="verdana_9"/>
              </w:rPr>
              <w:t xml:space="preserve">le Membre n'a pas notifié de besoins en matière d'ATRC</w:t>
            </w:r>
          </w:p>
          <w:p>
            <w:pPr>
              <w:pStyle w:val="no_spacing_paragraph"/>
            </w:pPr>
            <w:r>
              <w:rPr>
                <w:rStyle w:val="verdana_9_bold"/>
              </w:rPr>
              <w:t xml:space="preserve">Certaines</w:t>
            </w:r>
            <w:r>
              <w:rPr>
                <w:rStyle w:val="verdana_9_bold"/>
              </w:rPr>
              <w:t xml:space="preserve"> = </w:t>
            </w:r>
            <w:r>
              <w:rPr>
                <w:rStyle w:val="verdana_9"/>
              </w:rPr>
              <w:t xml:space="preserve">le Membre a présenté certaines notifications en matière d'ATRC</w:t>
            </w:r>
          </w:p>
          <w:p>
            <w:pPr>
              <w:pStyle w:val="no_spacing_paragraph"/>
            </w:pPr>
            <w:r>
              <w:rPr>
                <w:rStyle w:val="verdana_9_bold"/>
              </w:rPr>
              <w:t xml:space="preserve">s/o</w:t>
            </w:r>
            <w:r>
              <w:rPr>
                <w:rStyle w:val="verdana_9_bold"/>
              </w:rPr>
              <w:t xml:space="preserve"> = </w:t>
            </w:r>
            <w:r>
              <w:rPr>
                <w:rStyle w:val="verdana_9"/>
              </w:rPr>
              <w:t xml:space="preserve">sans objet</w:t>
            </w:r>
          </w:p>
        </w:tc>
      </w:tr>
    </w:tbl>
    <w:p>
      <w:r>
        <w:br w:type="page"/>
      </w:r>
    </w:p>
    <w:p>
      <w:pPr/>
      <w:r>
        <w:rPr>
          <w:rStyle w:val="verdana_9_bold"/>
        </w:rPr>
        <w:t xml:space="preserve">2. Notifications en matière de transparence  </w:t>
      </w:r>
      <w:r>
        <w:rPr>
          <w:rStyle w:val="verdana_9"/>
        </w:rPr>
        <w:t xml:space="preserve">(Articles 1.4, 10.4.3, 10.6.2 et 12.2.2)</w:t>
      </w:r>
      <w:r>
        <w:rPr>
          <w:rStyle w:val="verdana_9"/>
        </w:rPr>
        <w:t xml:space="preserve">………………………………</w:t>
      </w:r>
      <w:r>
        <w:rPr>
          <w:rStyle w:val="verdana_9"/>
        </w:rPr>
        <w:t xml:space="preserve">aller à la page 16</w:t>
      </w:r>
    </w:p>
    <w:p>
      <w:pPr/>
      <w:r>
        <w:rPr>
          <w:rStyle w:val="verdana_9"/>
        </w:rPr>
        <w:t xml:space="preserve">Un tableau récapitulatif montre le statut des notifications pour chaque article relatif à la transparence. Les chiffres rendent compte du nombre de Membres qui ont présenté des notifications pour les articles en question ou qui ne l'ont PAS encore fait. En ce qui concerne l'article 1:4, les renseignements sont davantage détaillés pour indiquer si TOUS les points de l'article, CERTAINS ou AUCUN ont fait l'objet d'une notification. En effet, certains Membres ont présenté des notifications ne concernant qu'une partie de l'article 1.4</w:t>
      </w:r>
    </w:p>
    <w:tbl>
      <w:tblGrid>
        <w:gridCol w:w="3000" w:type="dxa"/>
        <w:gridCol w:w="8500" w:type="dxa"/>
      </w:tblGrid>
      <w:tblPr>
        <w:tblStyle w:val="IntroTable"/>
      </w:tblPr>
      <w:tr>
        <w:trPr/>
        <w:tc>
          <w:tcPr>
            <w:tcW w:w="3000" w:type="dxa"/>
          </w:tcPr>
          <w:p>
            <w:pPr>
              <w:pStyle w:val="no_spacing_paragraph"/>
            </w:pPr>
            <w:r>
              <w:rPr>
                <w:rStyle w:val="verdana_9"/>
              </w:rPr>
              <w:t xml:space="preserve">Tous les Membres</w:t>
            </w:r>
          </w:p>
        </w:tc>
        <w:tc>
          <w:tcPr>
            <w:tcW w:w="8500" w:type="dxa"/>
          </w:tcPr>
          <w:p>
            <w:pPr>
              <w:pStyle w:val="no_spacing_paragraph"/>
            </w:pPr>
            <w:r>
              <w:rPr>
                <w:rStyle w:val="verdana_9"/>
              </w:rPr>
              <w:t xml:space="preserve">Pays en développement, PMA et pays développés Membres</w:t>
            </w:r>
          </w:p>
        </w:tc>
      </w:tr>
      <w:tr>
        <w:trPr/>
        <w:tc>
          <w:tcPr>
            <w:tcW w:w="3000" w:type="dxa"/>
          </w:tcPr>
          <w:p>
            <w:pPr>
              <w:pStyle w:val="no_spacing_paragraph"/>
            </w:pPr>
            <w:r>
              <w:rPr>
                <w:rStyle w:val="verdana_9"/>
              </w:rPr>
              <w:t xml:space="preserve">Pays en développement</w:t>
            </w:r>
          </w:p>
        </w:tc>
        <w:tc>
          <w:tcPr>
            <w:tcW w:w="8500" w:type="dxa"/>
          </w:tcPr>
          <w:p>
            <w:pPr>
              <w:pStyle w:val="no_spacing_paragraph"/>
            </w:pPr>
            <w:r>
              <w:rPr>
                <w:rStyle w:val="verdana_9"/>
              </w:rPr>
              <w:t xml:space="preserve">Pays en développement Membres seulement</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PMA Membres seulement</w:t>
            </w:r>
          </w:p>
        </w:tc>
      </w:tr>
      <w:tr>
        <w:trPr/>
        <w:tc>
          <w:tcPr>
            <w:tcW w:w="3000" w:type="dxa"/>
          </w:tcPr>
          <w:p>
            <w:pPr>
              <w:pStyle w:val="no_spacing_paragraph"/>
            </w:pPr>
            <w:r>
              <w:rPr>
                <w:rStyle w:val="verdana_9"/>
              </w:rPr>
              <w:t xml:space="preserve">Pays développés</w:t>
            </w:r>
          </w:p>
        </w:tc>
        <w:tc>
          <w:tcPr>
            <w:tcW w:w="8500" w:type="dxa"/>
          </w:tcPr>
          <w:p>
            <w:pPr>
              <w:pStyle w:val="no_spacing_paragraph"/>
            </w:pPr>
            <w:r>
              <w:rPr>
                <w:rStyle w:val="verdana_9"/>
              </w:rPr>
              <w:t xml:space="preserve">Pays développés Membres seulement</w:t>
            </w:r>
          </w:p>
        </w:tc>
      </w:tr>
    </w:tbl>
    <w:p>
      <w:pPr/>
      <w:r>
        <w:rPr>
          <w:rStyle w:val="verdana_9"/>
        </w:rPr>
        <w:t xml:space="preserve"/>
      </w:r>
    </w:p>
    <w:p>
      <w:pPr/>
      <w:r>
        <w:rPr>
          <w:rStyle w:val="verdana_9"/>
        </w:rPr>
        <w:t xml:space="preserve">La liste des Membres concernés présente leur statut respectif en matière de notification. Le contenu des colonnes indique:</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Non</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ABC</w:t>
            </w:r>
          </w:p>
        </w:tc>
        <w:tc>
          <w:tcPr>
            <w:tcW w:w="8500" w:type="dxa"/>
          </w:tcPr>
          <w:p>
            <w:pPr>
              <w:pStyle w:val="no_spacing_paragraph"/>
            </w:pPr>
            <w:r>
              <w:rPr>
                <w:rStyle w:val="verdana_9"/>
              </w:rPr>
              <w:t xml:space="preserve">La catégorie dans laquelle l'article a été notifié:</w:t>
            </w:r>
          </w:p>
          <w:p>
            <w:pPr>
              <w:pStyle w:val="no_spacing_paragraph"/>
            </w:pPr>
            <w:r>
              <w:rPr>
                <w:rStyle w:val="verdana_9_bold"/>
              </w:rPr>
              <w:t xml:space="preserve">A, B, C</w:t>
            </w:r>
            <w:r>
              <w:rPr>
                <w:rStyle w:val="verdana_9_bold"/>
              </w:rPr>
              <w:t xml:space="preserve"> = </w:t>
            </w:r>
            <w:r>
              <w:rPr>
                <w:rStyle w:val="verdana_9"/>
              </w:rPr>
              <w:t xml:space="preserve">notification complète dans la catégorie en question</w:t>
            </w:r>
          </w:p>
          <w:p>
            <w:pPr>
              <w:pStyle w:val="no_spacing_paragraph"/>
            </w:pPr>
            <w:r>
              <w:rPr>
                <w:rStyle w:val="verdana_9_bold"/>
              </w:rPr>
              <w:t xml:space="preserve">n/a</w:t>
            </w:r>
            <w:r>
              <w:rPr>
                <w:rStyle w:val="verdana_9_bold"/>
              </w:rPr>
              <w:t xml:space="preserve"> = </w:t>
            </w:r>
            <w:r>
              <w:rPr>
                <w:rStyle w:val="verdana_9"/>
              </w:rPr>
              <w:t xml:space="preserve">notification partielle dans la catégorie en question</w:t>
            </w:r>
          </w:p>
          <w:p>
            <w:pPr>
              <w:pStyle w:val="no_spacing_paragraph"/>
            </w:pPr>
            <w:r>
              <w:rPr>
                <w:rStyle w:val="verdana_9_bold"/>
              </w:rPr>
              <w:t xml:space="preserve">N</w:t>
            </w:r>
            <w:r>
              <w:rPr>
                <w:rStyle w:val="verdana_9_bold"/>
              </w:rPr>
              <w:t xml:space="preserve"> = </w:t>
            </w:r>
            <w:r>
              <w:rPr>
                <w:rStyle w:val="verdana_9"/>
              </w:rPr>
              <w:t xml:space="preserve">pas encore notifié</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Transparence</w:t>
            </w:r>
          </w:p>
        </w:tc>
        <w:tc>
          <w:tcPr>
            <w:tcW w:w="8500" w:type="dxa"/>
          </w:tcPr>
          <w:p>
            <w:pPr>
              <w:pStyle w:val="no_spacing_paragraph"/>
            </w:pPr>
            <w:r>
              <w:rPr>
                <w:rStyle w:val="verdana_9"/>
              </w:rPr>
              <w:t xml:space="preserve">le Membre a notifié cet article dans une notification de transparence</w:t>
            </w:r>
          </w:p>
        </w:tc>
      </w:tr>
    </w:tbl>
    <w:p>
      <w:r>
        <w:br w:type="page"/>
      </w:r>
    </w:p>
    <w:p>
      <w:pPr/>
      <w:r>
        <w:rPr>
          <w:rStyle w:val="verdana_9_bold"/>
        </w:rPr>
        <w:t xml:space="preserve">3. Notifications concernant l'assistance et le soutien pour le renforcement des capacités fournis par des Membres donateurs </w:t>
      </w:r>
      <w:r>
        <w:rPr>
          <w:rStyle w:val="verdana_9"/>
        </w:rPr>
        <w:t xml:space="preserve">(Articles 22.1 et 22.2)</w:t>
      </w:r>
      <w:r>
        <w:rPr>
          <w:rStyle w:val="verdana_9"/>
        </w:rPr>
        <w:t xml:space="preserve">……………………………………………………………………………………………………</w:t>
      </w:r>
      <w:r>
        <w:rPr>
          <w:rStyle w:val="verdana_9"/>
        </w:rPr>
        <w:t xml:space="preserve">aller à la page 30</w:t>
      </w:r>
    </w:p>
    <w:p>
      <w:pPr/>
      <w:r>
        <w:rPr>
          <w:rStyle w:val="verdana_9"/>
        </w:rPr>
        <w:t xml:space="preserve">Un tableau récapitulatif montre le statut des notifications concernant les donateurs. Les chiffres rendent compte du nombre de Membres donateurs qui ont présenté des notifications au titre de chacun des articles applicables.</w:t>
      </w:r>
    </w:p>
    <w:p>
      <w:pPr/>
      <w:r>
        <w:rPr>
          <w:rStyle w:val="verdana_9"/>
        </w:rPr>
        <w:t xml:space="preserve">La liste des Membres concernés présente leur statut respectif en matière de notification. Le contenu des colonnes indique:</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ANNÉE période considérée</w:t>
            </w:r>
          </w:p>
        </w:tc>
        <w:tc>
          <w:tcPr>
            <w:tcW w:w="88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22.1 pour la période considérée, ou pas.</w:t>
            </w:r>
          </w:p>
        </w:tc>
      </w:tr>
      <w:tr>
        <w:trPr/>
        <w:tc>
          <w:tcPr>
            <w:vMerge w:val="continue"/>
          </w:tcPr>
          <w:p/>
        </w:tc>
        <w:tc>
          <w:tcPr>
            <w:tcW w:w="1800" w:type="dxa"/>
          </w:tcPr>
          <w:p>
            <w:pPr/>
            <w:r>
              <w:rPr>
                <w:rStyle w:val="verdana_9"/>
              </w:rPr>
              <w:t xml:space="preserve">Notification en ANNÉE</w:t>
            </w:r>
          </w:p>
        </w:tc>
        <w:tc>
          <w:tcPr>
            <w:tcW w:w="88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22.1 au cours de l'année indiquée, ou pas.</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notifié des renseignements relatifs à l'article 22.2 ou pas.</w:t>
            </w:r>
          </w:p>
        </w:tc>
      </w:tr>
    </w:tbl>
    <w:p>
      <w:pPr/>
      <w:r>
        <w:rPr>
          <w:rStyle w:val="verdana_9"/>
        </w:rPr>
        <w:t xml:space="preserve"/>
      </w:r>
    </w:p>
    <w:p>
      <w:pPr/>
      <w:r>
        <w:rPr>
          <w:rStyle w:val="verdana_9_bold"/>
        </w:rPr>
        <w:t xml:space="preserve">4. Notifications concernant les points de contact des pays en développement et des PMA qui demandent une assistance technique et un soutien pour le renforcement des capacités </w:t>
      </w:r>
      <w:r>
        <w:rPr>
          <w:rStyle w:val="verdana_9"/>
        </w:rPr>
        <w:t xml:space="preserve"> (Article 22.3)</w:t>
      </w:r>
      <w:r>
        <w:rPr>
          <w:rStyle w:val="verdana_9"/>
        </w:rPr>
        <w:t xml:space="preserve">………………………</w:t>
      </w:r>
      <w:r>
        <w:rPr>
          <w:rStyle w:val="verdana_9"/>
        </w:rPr>
        <w:t xml:space="preserve">aller à la page 32</w:t>
      </w:r>
    </w:p>
    <w:p>
      <w:pPr/>
      <w:r>
        <w:rPr>
          <w:rStyle w:val="verdana_9"/>
        </w:rPr>
        <w:t xml:space="preserve">Un tableau récapitulatif montre le statut des notifications concernant les renseignements relatifs à l'article 22.3 présentées par des pays en développement et des PMA. Il rend compte du nombre de Membres qui ont présenté des notifications au titre de l'article 22.3 par rapport au nombre total de Membres qui ont notifié des engagements de la catégorie C.</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ratifié l'AFE ou pas</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22.3 </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RESUMÉ DES NOTIFICATIONS CONCERNANT LES CATÉGORIES A, B ET C</w:t>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CCCCCC"/>
          </w:tcPr>
          <w:p>
            <w:pPr/>
            <w:r>
              <w:rPr>
                <w:rStyle w:val="verdana_9_bold_white"/>
              </w:rPr>
              <w:t xml:space="preserve">Désignations des catégories A,B,C</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Pays en développement et PMA Membres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Membres qui ont présenté TOUTES les désignations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Membres qui n'ont PAS presenté de désignations</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Membres qui ont présenté CERTAINES désignations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Dates indicatives relatives à la catégorie B </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Membres qui ont notifié des engagements relevant de la catégorie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Dates indicatives relatives à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Dates définitives relatives à la catégorie B</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Membres qui ont notifié des engagements relevant de la catégorie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Dates définitives relatives à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Besoins en matière d'assistance technique pour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TOUS leur besoins en matière d'ATRC</w:t>
            </w:r>
          </w:p>
        </w:tc>
        <w:tc>
          <w:tcPr>
            <w:tcW w:w="750" w:type="dxa"/>
            <w:vAlign w:val="center"/>
          </w:tcPr>
          <w:p>
            <w:pPr>
              <w:jc w:val="center"/>
            </w:pPr>
            <w:r>
              <w:rPr>
                <w:rStyle w:val="verdana_9"/>
              </w:rPr>
              <w:t xml:space="preserve">94</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32</w:t>
            </w:r>
            <w:r>
              <w:rPr>
                <w:rStyle w:val="FootnoteReference"/>
              </w:rPr>
              <w:footnoteReference w:id="15"/>
            </w:r>
          </w:p>
        </w:tc>
        <w:tc>
          <w:tcPr>
            <w:tcW w:w="750" w:type="dxa"/>
            <w:vAlign w:val="center"/>
          </w:tcPr>
          <w:p>
            <w:pPr>
              <w:jc w:val="center"/>
            </w:pPr>
            <w:r>
              <w:rPr>
                <w:rStyle w:val="verdana_9"/>
              </w:rPr>
              <w:t xml:space="preserve">94%</w:t>
            </w:r>
          </w:p>
        </w:tc>
      </w:tr>
      <w:tr>
        <w:trPr/>
        <w:tc>
          <w:tcPr>
            <w:tcW w:w="4500" w:type="dxa"/>
            <w:vAlign w:val="center"/>
          </w:tcPr>
          <w:p>
            <w:pPr/>
            <w:r>
              <w:rPr>
                <w:rStyle w:val="verdana_9"/>
              </w:rPr>
              <w:t xml:space="preserve">Membres qui n'ont pas notifié leur besoins en matière d'ATRC</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Membres qui ont notifié CERTAINS besoins en matière d'ATRC</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8"/>
            </w:r>
          </w:p>
        </w:tc>
        <w:tc>
          <w:tcPr>
            <w:tcW w:w="750" w:type="dxa"/>
            <w:vAlign w:val="center"/>
          </w:tcPr>
          <w:p>
            <w:pPr>
              <w:jc w:val="center"/>
            </w:pPr>
            <w:r>
              <w:rPr>
                <w:rStyle w:val="verdana_9"/>
              </w:rPr>
              <w:t xml:space="preserve">3%</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notified arrangements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19"/>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0"/>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Members that have notified progress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21"/>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2"/>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Membre</w:t>
            </w:r>
          </w:p>
        </w:tc>
        <w:tc>
          <w:tcPr>
            <w:tcW w:w="1000" w:type="dxa"/>
            <w:vAlign w:val="center"/>
          </w:tcPr>
          <w:p>
            <w:pPr>
              <w:jc w:val="center"/>
            </w:pPr>
            <w:r>
              <w:rPr>
                <w:rFonts w:ascii="Verdana" w:hAnsi="Verdana" w:eastAsia="Verdana" w:cs="Verdana"/>
                <w:sz w:val="18"/>
                <w:szCs w:val="18"/>
                <w:b w:val="1"/>
                <w:bCs w:val="1"/>
              </w:rPr>
              <w:t xml:space="preserve">Ratification</w:t>
            </w:r>
          </w:p>
        </w:tc>
        <w:tc>
          <w:tcPr>
            <w:tcW w:w="1000" w:type="dxa"/>
            <w:vAlign w:val="center"/>
          </w:tcPr>
          <w:p>
            <w:pPr>
              <w:jc w:val="center"/>
            </w:pPr>
            <w:r>
              <w:rPr>
                <w:rFonts w:ascii="Verdana" w:hAnsi="Verdana" w:eastAsia="Verdana" w:cs="Verdana"/>
                <w:sz w:val="18"/>
                <w:szCs w:val="18"/>
                <w:b w:val="1"/>
                <w:bCs w:val="1"/>
              </w:rPr>
              <w:t xml:space="preserve">Désignations des catégories A,B,C</w:t>
            </w:r>
          </w:p>
        </w:tc>
        <w:tc>
          <w:tcPr>
            <w:tcW w:w="1000" w:type="dxa"/>
            <w:vAlign w:val="center"/>
          </w:tcPr>
          <w:p>
            <w:pPr>
              <w:jc w:val="center"/>
            </w:pPr>
            <w:r>
              <w:rPr>
                <w:rFonts w:ascii="Verdana" w:hAnsi="Verdana" w:eastAsia="Verdana" w:cs="Verdana"/>
                <w:sz w:val="18"/>
                <w:szCs w:val="18"/>
                <w:b w:val="1"/>
                <w:bCs w:val="1"/>
              </w:rPr>
              <w:t xml:space="preserve">Dates IND
Cat.B</w:t>
            </w:r>
          </w:p>
        </w:tc>
        <w:tc>
          <w:tcPr>
            <w:tcW w:w="1000" w:type="dxa"/>
            <w:vAlign w:val="center"/>
          </w:tcPr>
          <w:p>
            <w:pPr>
              <w:jc w:val="center"/>
            </w:pPr>
            <w:r>
              <w:rPr>
                <w:rFonts w:ascii="Verdana" w:hAnsi="Verdana" w:eastAsia="Verdana" w:cs="Verdana"/>
                <w:sz w:val="18"/>
                <w:szCs w:val="18"/>
                <w:b w:val="1"/>
                <w:bCs w:val="1"/>
              </w:rPr>
              <w:t xml:space="preserve">Dates IND
Cat.C</w:t>
            </w:r>
          </w:p>
        </w:tc>
        <w:tc>
          <w:tcPr>
            <w:tcW w:w="1000" w:type="dxa"/>
            <w:vAlign w:val="center"/>
          </w:tcPr>
          <w:p>
            <w:pPr>
              <w:jc w:val="center"/>
            </w:pPr>
            <w:r>
              <w:rPr>
                <w:rFonts w:ascii="Verdana" w:hAnsi="Verdana" w:eastAsia="Verdana" w:cs="Verdana"/>
                <w:sz w:val="18"/>
                <w:szCs w:val="18"/>
                <w:b w:val="1"/>
                <w:bCs w:val="1"/>
              </w:rPr>
              <w:t xml:space="preserve">Dates DEF
Cat.B</w:t>
            </w:r>
          </w:p>
        </w:tc>
        <w:tc>
          <w:tcPr>
            <w:tcW w:w="1000" w:type="dxa"/>
            <w:vAlign w:val="center"/>
          </w:tcPr>
          <w:p>
            <w:pPr>
              <w:jc w:val="center"/>
            </w:pPr>
            <w:r>
              <w:rPr>
                <w:rFonts w:ascii="Verdana" w:hAnsi="Verdana" w:eastAsia="Verdana" w:cs="Verdana"/>
                <w:sz w:val="18"/>
                <w:szCs w:val="18"/>
                <w:b w:val="1"/>
                <w:bCs w:val="1"/>
              </w:rPr>
              <w:t xml:space="preserve">Dates DEF
Cat.C</w:t>
            </w:r>
          </w:p>
        </w:tc>
        <w:tc>
          <w:tcPr>
            <w:tcW w:w="1000" w:type="dxa"/>
            <w:vAlign w:val="center"/>
          </w:tcPr>
          <w:p>
            <w:pPr>
              <w:jc w:val="center"/>
            </w:pPr>
            <w:r>
              <w:rPr>
                <w:rFonts w:ascii="Verdana" w:hAnsi="Verdana" w:eastAsia="Verdana" w:cs="Verdana"/>
                <w:sz w:val="18"/>
                <w:szCs w:val="18"/>
                <w:b w:val="1"/>
                <w:bCs w:val="1"/>
              </w:rPr>
              <w:t xml:space="preserve">Notification
d'ATRC</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Afghanistan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et Barbuda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Arménie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Bahreïn, Royaume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Belize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Bénin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Bolivie, État plurinational de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Brésil</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Brunéi Darussalam</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Cambodge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Cameroun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Tchad</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Chili</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Comores</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Corée, République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Costa Rica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Côte d' Ivoire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Équateur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Égypte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Émirats arabes unis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Eswatini, Royaume 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Fidji</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Philippines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Gabon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Géorgie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Grenade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Guinée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Guinée-Bissau</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Haïti</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Indonésie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Îles Salomon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Israël</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Jamaïque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Kazakhstan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Koweït, État du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Libéria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Macédoine du Nord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some</w:t>
            </w:r>
          </w:p>
        </w:tc>
        <w:tc>
          <w:tcPr>
            <w:tcW w:w="1000" w:type="dxa"/>
            <w:shd w:val="clear" w:fill="F0F0F0"/>
          </w:tcPr>
          <w:p>
            <w:pPr/>
            <w:r>
              <w:rPr>
                <w:rStyle w:val="verdana_9"/>
              </w:rPr>
              <w:t xml:space="preserve">yes</w:t>
            </w:r>
          </w:p>
        </w:tc>
      </w:tr>
      <w:tr>
        <w:trPr/>
        <w:tc>
          <w:tcPr>
            <w:tcW w:w="1000" w:type="dxa"/>
          </w:tcPr>
          <w:p>
            <w:pPr/>
            <w:r>
              <w:rPr>
                <w:rStyle w:val="verdana_9"/>
              </w:rPr>
              <w:t xml:space="preserve">Malaisie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Maldives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Maroc</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Maurice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Mauritanie</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Mexique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Moldavie, République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Monténégro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Népal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Niger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Nigéria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Oman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Papouasie-Nouvelle-Guinée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Pérou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Arabie saoudite, Royaume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République centrafricaine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République démocratique populaire lao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République démocratique du Congo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République Dominicaine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République kirghize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Saint-Kitts-et-Nevis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Saint-Vincent-et-les Grenadines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Sainte-Lucie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Sénégal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Singapour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Afrique du Sud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Suriname</w:t>
            </w:r>
          </w:p>
        </w:tc>
        <w:tc>
          <w:tcPr>
            <w:tcW w:w="1000" w:type="dxa"/>
          </w:tcPr>
          <w:p>
            <w:pPr/>
            <w:r>
              <w:rPr>
                <w:rStyle w:val="verdana_9"/>
              </w:rPr>
              <w:t xml:space="preserve">Non</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Thaïlande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Le Territoire douanier distinct de Taiwan, Penghu, Kinmen, Matsu (Taipei Chinois)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Tanzanie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Tadjikistan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Timor oriental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Trinité-et-Tobago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Tunisie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Ukraine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Ouganda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Uruguay</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République bolivarienne du</w:t>
            </w:r>
          </w:p>
        </w:tc>
        <w:tc>
          <w:tcPr>
            <w:tcW w:w="1000" w:type="dxa"/>
          </w:tcPr>
          <w:p>
            <w:pPr/>
            <w:r>
              <w:rPr>
                <w:rStyle w:val="verdana_9"/>
              </w:rPr>
              <w:t xml:space="preserve">Oui</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Yémen</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Légende</w:t>
      </w:r>
    </w:p>
    <w:p>
      <w:pPr/>
      <w:r>
        <w:rPr>
          <w:rStyle w:val="verdana_9_bg_grey"/>
        </w:rPr>
        <w:t xml:space="preserve">Les Membres surlignés en gris sont des PMA</w:t>
      </w:r>
    </w:p>
    <w:p>
      <w:r>
        <w:br w:type="page"/>
      </w:r>
    </w:p>
    <w:p>
      <w:pPr/>
      <w:r>
        <w:rPr>
          <w:rStyle w:val="verdana_10_bold"/>
        </w:rPr>
        <w:t xml:space="preserve">2. NOTIFICATIONS EN MATIÈRE DE TRANSPARENCE (ARTICLES 1.4, 10.4.3, 10.6.2 et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Prescriptions en matière de notification</w:t>
            </w:r>
          </w:p>
        </w:tc>
        <w:tc>
          <w:tcPr>
            <w:tcW w:w="2000" w:type="dxa"/>
            <w:gridSpan w:val="2"/>
          </w:tcPr>
          <w:p>
            <w:pPr>
              <w:jc w:val="center"/>
            </w:pPr>
            <w:r>
              <w:rPr>
                <w:rFonts w:ascii="Verdana" w:hAnsi="Verdana" w:eastAsia="Verdana" w:cs="Verdana"/>
                <w:sz w:val="18"/>
                <w:szCs w:val="18"/>
                <w:b w:val="1"/>
                <w:bCs w:val="1"/>
              </w:rPr>
              <w:t xml:space="preserve">Tous les Membres</w:t>
            </w:r>
          </w:p>
        </w:tc>
        <w:tc>
          <w:tcPr>
            <w:tcW w:w="2000" w:type="dxa"/>
            <w:gridSpan w:val="2"/>
          </w:tcPr>
          <w:p>
            <w:pPr>
              <w:jc w:val="center"/>
            </w:pPr>
            <w:r>
              <w:rPr>
                <w:rFonts w:ascii="Verdana" w:hAnsi="Verdana" w:eastAsia="Verdana" w:cs="Verdana"/>
                <w:sz w:val="18"/>
                <w:szCs w:val="18"/>
                <w:b w:val="1"/>
                <w:bCs w:val="1"/>
              </w:rPr>
              <w:t xml:space="preserve">Pays en développement</w:t>
            </w:r>
          </w:p>
        </w:tc>
        <w:tc>
          <w:tcPr>
            <w:tcW w:w="2000" w:type="dxa"/>
            <w:gridSpan w:val="2"/>
          </w:tcPr>
          <w:p>
            <w:pPr>
              <w:jc w:val="center"/>
            </w:pPr>
            <w:r>
              <w:rPr>
                <w:rFonts w:ascii="Verdana" w:hAnsi="Verdana" w:eastAsia="Verdana" w:cs="Verdana"/>
                <w:sz w:val="18"/>
                <w:szCs w:val="18"/>
                <w:b w:val="1"/>
                <w:bCs w:val="1"/>
              </w:rPr>
              <w:t xml:space="preserve">PMA</w:t>
            </w:r>
          </w:p>
        </w:tc>
        <w:tc>
          <w:tcPr>
            <w:tcW w:w="2000" w:type="dxa"/>
            <w:gridSpan w:val="2"/>
          </w:tcPr>
          <w:p>
            <w:pPr>
              <w:jc w:val="center"/>
            </w:pPr>
            <w:r>
              <w:rPr>
                <w:rFonts w:ascii="Verdana" w:hAnsi="Verdana" w:eastAsia="Verdana" w:cs="Verdana"/>
                <w:sz w:val="18"/>
                <w:szCs w:val="18"/>
                <w:b w:val="1"/>
                <w:bCs w:val="1"/>
              </w:rPr>
              <w:t xml:space="preserve">Pays développés</w:t>
            </w:r>
          </w:p>
        </w:tc>
      </w:tr>
      <w:tr>
        <w:trPr/>
        <w:tc>
          <w:tcPr>
            <w:tcW w:w="6000" w:type="dxa"/>
            <w:vAlign w:val="center"/>
            <w:shd w:val="clear" w:fill="756BB0"/>
          </w:tcPr>
          <w:p>
            <w:pPr/>
            <w:r>
              <w:rPr>
                <w:rStyle w:val="verdana_9_bold_white"/>
              </w:rPr>
              <w:t xml:space="preserve">1.4 - Procédures d'importation, d'exportation et de transit</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présenté des notifications au titre de TOUS les points de l'article</w:t>
            </w:r>
          </w:p>
        </w:tc>
        <w:tc>
          <w:tcPr>
            <w:tcW w:w="1000" w:type="dxa"/>
            <w:vAlign w:val="center"/>
          </w:tcPr>
          <w:p>
            <w:pPr>
              <w:jc w:val="center"/>
            </w:pPr>
            <w:r>
              <w:rPr>
                <w:rStyle w:val="verdana_9"/>
              </w:rPr>
              <w:t xml:space="preserve">133</w:t>
            </w:r>
          </w:p>
        </w:tc>
        <w:tc>
          <w:tcPr>
            <w:tcW w:w="1000" w:type="dxa"/>
            <w:vAlign w:val="center"/>
          </w:tcPr>
          <w:p>
            <w:pPr>
              <w:jc w:val="center"/>
            </w:pPr>
            <w:r>
              <w:rPr>
                <w:rStyle w:val="verdana_9"/>
              </w:rPr>
              <w:t xml:space="preserve">80%</w:t>
            </w:r>
          </w:p>
        </w:tc>
        <w:tc>
          <w:tcPr>
            <w:tcW w:w="1000" w:type="dxa"/>
            <w:vAlign w:val="center"/>
          </w:tcPr>
          <w:p>
            <w:pPr>
              <w:jc w:val="center"/>
            </w:pPr>
            <w:r>
              <w:rPr>
                <w:rStyle w:val="verdana_9"/>
              </w:rPr>
              <w:t xml:space="preserve">76</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présenté AUCUNE notification</w:t>
            </w:r>
          </w:p>
        </w:tc>
        <w:tc>
          <w:tcPr>
            <w:tcW w:w="1000" w:type="dxa"/>
            <w:vAlign w:val="center"/>
          </w:tcPr>
          <w:p>
            <w:pPr>
              <w:jc w:val="center"/>
            </w:pPr>
            <w:r>
              <w:rPr>
                <w:rStyle w:val="verdana_9"/>
              </w:rPr>
              <w:t xml:space="preserve">28</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Membres qui ont présenté des notifications au titre de CERTAINS points de l'article</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Fonctionnement du guichet unique</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110</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59</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56</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31</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Recours à des courtiers en douanes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144</w:t>
            </w:r>
          </w:p>
        </w:tc>
        <w:tc>
          <w:tcPr>
            <w:tcW w:w="1000" w:type="dxa"/>
            <w:vAlign w:val="center"/>
          </w:tcPr>
          <w:p>
            <w:pPr>
              <w:jc w:val="center"/>
            </w:pPr>
            <w:r>
              <w:rPr>
                <w:rStyle w:val="verdana_9"/>
              </w:rPr>
              <w:t xml:space="preserve">87%</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93%</w:t>
            </w:r>
          </w:p>
        </w:tc>
        <w:tc>
          <w:tcPr>
            <w:tcW w:w="1000" w:type="dxa"/>
            <w:vAlign w:val="center"/>
          </w:tcPr>
          <w:p>
            <w:pPr>
              <w:jc w:val="center"/>
            </w:pPr>
            <w:r>
              <w:rPr>
                <w:rStyle w:val="verdana_9"/>
              </w:rPr>
              <w:t xml:space="preserve">21</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22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6</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Points de contact pour l'échange de renseignements douaniers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140</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82</w:t>
            </w:r>
          </w:p>
        </w:tc>
        <w:tc>
          <w:tcPr>
            <w:tcW w:w="1000" w:type="dxa"/>
            <w:vAlign w:val="center"/>
          </w:tcPr>
          <w:p>
            <w:pPr>
              <w:jc w:val="center"/>
            </w:pPr>
            <w:r>
              <w:rPr>
                <w:rStyle w:val="verdana_9"/>
              </w:rPr>
              <w:t xml:space="preserve">91%</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26</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Membre</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2021</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août 2023</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août 2023</w:t>
            </w:r>
          </w:p>
        </w:tc>
      </w:tr>
      <w:tr>
        <w:trPr/>
        <w:tc>
          <w:tcPr>
            <w:tcW w:w="5000" w:type="dxa"/>
          </w:tcPr>
          <w:p>
            <w:pPr/>
            <w:r>
              <w:rPr>
                <w:rStyle w:val="verdana_9"/>
              </w:rPr>
              <w:t xml:space="preserve">Afrique du Sud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Afrique du Sud</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22 février 2038</w:t>
            </w:r>
          </w:p>
        </w:tc>
      </w:tr>
      <w:tr>
        <w:trPr/>
        <w:tc>
          <w:tcPr>
            <w:tcW w:w="5000" w:type="dxa"/>
          </w:tcPr>
          <w:p>
            <w:pPr/>
            <w:r>
              <w:rPr>
                <w:rStyle w:val="verdana_9"/>
              </w:rPr>
              <w:t xml:space="preserve">Afrique du Sud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Afrique du Sud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janvier 2024</w:t>
            </w:r>
          </w:p>
        </w:tc>
      </w:tr>
      <w:tr>
        <w:trPr/>
        <w:tc>
          <w:tcPr>
            <w:tcW w:w="5000" w:type="dxa"/>
          </w:tcPr>
          <w:p>
            <w:pPr/>
            <w:r>
              <w:rPr>
                <w:rStyle w:val="verdana_9"/>
              </w:rPr>
              <w:t xml:space="preserve">Albanie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2027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2026</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2024</w:t>
            </w:r>
          </w:p>
        </w:tc>
      </w:tr>
      <w:tr>
        <w:trPr/>
        <w:tc>
          <w:tcPr>
            <w:tcW w:w="5000" w:type="dxa"/>
          </w:tcPr>
          <w:p>
            <w:pPr/>
            <w:r>
              <w:rPr>
                <w:rStyle w:val="verdana_9"/>
              </w:rPr>
              <w:t xml:space="preserve">Antigua et Barbuda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2025</w:t>
            </w:r>
          </w:p>
        </w:tc>
      </w:tr>
      <w:tr>
        <w:trPr/>
        <w:tc>
          <w:tcPr>
            <w:tcW w:w="5000" w:type="dxa"/>
          </w:tcPr>
          <w:p>
            <w:pPr/>
            <w:r>
              <w:rPr>
                <w:rStyle w:val="verdana_9"/>
              </w:rPr>
              <w:t xml:space="preserve">Antigua et Barbuda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2035</w:t>
            </w:r>
          </w:p>
        </w:tc>
      </w:tr>
      <w:tr>
        <w:trPr/>
        <w:tc>
          <w:tcPr>
            <w:tcW w:w="5000" w:type="dxa"/>
          </w:tcPr>
          <w:p>
            <w:pPr/>
            <w:r>
              <w:rPr>
                <w:rStyle w:val="verdana_9"/>
              </w:rPr>
              <w:t xml:space="preserve">Antigua et Barbuda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Antigua et Barbuda</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2034</w:t>
            </w:r>
          </w:p>
        </w:tc>
      </w:tr>
      <w:tr>
        <w:trPr/>
        <w:tc>
          <w:tcPr>
            <w:tcW w:w="5000" w:type="dxa"/>
          </w:tcPr>
          <w:p>
            <w:pPr/>
            <w:r>
              <w:rPr>
                <w:rStyle w:val="verdana_9"/>
              </w:rPr>
              <w:t xml:space="preserve">Arabie saoudite, Royaume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Argentine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 B</w:t>
            </w:r>
          </w:p>
        </w:tc>
        <w:tc>
          <w:tcPr>
            <w:tcW w:w="5000" w:type="dxa"/>
          </w:tcPr>
          <w:p>
            <w:pPr/>
            <w:r>
              <w:rPr>
                <w:rStyle w:val="verdana_9"/>
              </w:rPr>
              <w:t xml:space="preserve">22 février 2017 - 22 janvier 2018</w:t>
            </w:r>
          </w:p>
        </w:tc>
      </w:tr>
      <w:tr>
        <w:trPr/>
        <w:tc>
          <w:tcPr>
            <w:tcW w:w="5000" w:type="dxa"/>
          </w:tcPr>
          <w:p>
            <w:pPr/>
            <w:r>
              <w:rPr>
                <w:rStyle w:val="verdana_9"/>
              </w:rPr>
              <w:t xml:space="preserve">Argentine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25 janvier 2026</w:t>
            </w:r>
          </w:p>
        </w:tc>
      </w:tr>
      <w:tr>
        <w:trPr/>
        <w:tc>
          <w:tcPr>
            <w:tcW w:w="5000" w:type="dxa"/>
          </w:tcPr>
          <w:p>
            <w:pPr/>
            <w:r>
              <w:rPr>
                <w:rStyle w:val="verdana_9"/>
              </w:rPr>
              <w:t xml:space="preserve">Argentine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Argentine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Arménie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Arménie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Arménie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Arménie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Bahreïn, Royaume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Bahreïn, Royaume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2023</w:t>
            </w:r>
          </w:p>
        </w:tc>
      </w:tr>
      <w:tr>
        <w:trPr/>
        <w:tc>
          <w:tcPr>
            <w:tcW w:w="5000" w:type="dxa"/>
          </w:tcPr>
          <w:p>
            <w:pPr/>
            <w:r>
              <w:rPr>
                <w:rStyle w:val="verdana_9"/>
              </w:rPr>
              <w:t xml:space="preserve">Bahreïn, Royaume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2019</w:t>
            </w:r>
          </w:p>
        </w:tc>
      </w:tr>
      <w:tr>
        <w:trPr/>
        <w:tc>
          <w:tcPr>
            <w:tcW w:w="5000" w:type="dxa"/>
          </w:tcPr>
          <w:p>
            <w:pPr/>
            <w:r>
              <w:rPr>
                <w:rStyle w:val="verdana_9"/>
              </w:rPr>
              <w:t xml:space="preserve">Bahreïn, Royaume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tcPr>
          <w:p>
            <w:pPr/>
            <w:r>
              <w:rPr>
                <w:rStyle w:val="verdana_9"/>
              </w:rPr>
              <w:t xml:space="preserve">Barbade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2028</w:t>
            </w:r>
          </w:p>
        </w:tc>
      </w:tr>
      <w:tr>
        <w:trPr/>
        <w:tc>
          <w:tcPr>
            <w:tcW w:w="5000" w:type="dxa"/>
          </w:tcPr>
          <w:p>
            <w:pPr/>
            <w:r>
              <w:rPr>
                <w:rStyle w:val="verdana_9"/>
              </w:rPr>
              <w:t xml:space="preserve">Barbade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Barbade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Barbade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2022</w:t>
            </w:r>
          </w:p>
        </w:tc>
      </w:tr>
      <w:tr>
        <w:trPr/>
        <w:tc>
          <w:tcPr>
            <w:tcW w:w="5000" w:type="dxa"/>
          </w:tcPr>
          <w:p>
            <w:pPr/>
            <w:r>
              <w:rPr>
                <w:rStyle w:val="verdana_9"/>
              </w:rPr>
              <w:t xml:space="preserve">Belgique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Belize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Belize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2026</w:t>
            </w:r>
          </w:p>
        </w:tc>
      </w:tr>
      <w:tr>
        <w:trPr/>
        <w:tc>
          <w:tcPr>
            <w:tcW w:w="5000" w:type="dxa"/>
          </w:tcPr>
          <w:p>
            <w:pPr/>
            <w:r>
              <w:rPr>
                <w:rStyle w:val="verdana_9"/>
              </w:rPr>
              <w:t xml:space="preserve">Belize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Belize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2020</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Bolivie, État plurinational de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Bolivie, État plurinational de </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Bolivie, État plurinational de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Bolivie, État plurinational de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juin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Brésil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Cabo Verde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2025</w:t>
            </w:r>
          </w:p>
        </w:tc>
      </w:tr>
      <w:tr>
        <w:trPr/>
        <w:tc>
          <w:tcPr>
            <w:tcW w:w="5000" w:type="dxa"/>
          </w:tcPr>
          <w:p>
            <w:pPr/>
            <w:r>
              <w:rPr>
                <w:rStyle w:val="verdana_9"/>
              </w:rPr>
              <w:t xml:space="preserve">Cabo Verde </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juillet 2027</w:t>
            </w:r>
          </w:p>
        </w:tc>
      </w:tr>
      <w:tr>
        <w:trPr/>
        <w:tc>
          <w:tcPr>
            <w:tcW w:w="5000" w:type="dxa"/>
          </w:tcPr>
          <w:p>
            <w:pPr/>
            <w:r>
              <w:rPr>
                <w:rStyle w:val="verdana_9"/>
              </w:rPr>
              <w:t xml:space="preserve">Cabo Verde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 janvier 2022</w:t>
            </w:r>
          </w:p>
        </w:tc>
      </w:tr>
      <w:tr>
        <w:trPr/>
        <w:tc>
          <w:tcPr>
            <w:tcW w:w="5000" w:type="dxa"/>
          </w:tcPr>
          <w:p>
            <w:pPr/>
            <w:r>
              <w:rPr>
                <w:rStyle w:val="verdana_9"/>
              </w:rPr>
              <w:t xml:space="preserve">Cabo Verde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juillet 2025</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août 2023</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mai 2024</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2017</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2017</w:t>
            </w:r>
          </w:p>
        </w:tc>
      </w:tr>
      <w:tr>
        <w:trPr/>
        <w:tc>
          <w:tcPr>
            <w:tcW w:w="5000" w:type="dxa"/>
          </w:tcPr>
          <w:p>
            <w:pPr/>
            <w:r>
              <w:rPr>
                <w:rStyle w:val="verdana_9"/>
              </w:rPr>
              <w:t xml:space="preserve">Cameroun</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septembre 2021 - 30 septembre 2022</w:t>
            </w:r>
          </w:p>
        </w:tc>
      </w:tr>
      <w:tr>
        <w:trPr/>
        <w:tc>
          <w:tcPr>
            <w:tcW w:w="5000" w:type="dxa"/>
          </w:tcPr>
          <w:p>
            <w:pPr/>
            <w:r>
              <w:rPr>
                <w:rStyle w:val="verdana_9"/>
              </w:rPr>
              <w:t xml:space="preserve">Cameroun</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Cameroun</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Cameroun</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mars 2022</w:t>
            </w:r>
          </w:p>
        </w:tc>
      </w:tr>
      <w:tr>
        <w:trPr/>
        <w:tc>
          <w:tcPr>
            <w:tcW w:w="5000" w:type="dxa"/>
          </w:tcPr>
          <w:p>
            <w:pPr/>
            <w:r>
              <w:rPr>
                <w:rStyle w:val="verdana_9"/>
              </w:rPr>
              <w:t xml:space="preserve">Canada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19 juillet 2019</w:t>
            </w:r>
          </w:p>
        </w:tc>
      </w:tr>
      <w:tr>
        <w:trPr/>
        <w:tc>
          <w:tcPr>
            <w:tcW w:w="5000" w:type="dxa"/>
          </w:tcPr>
          <w:p>
            <w:pPr/>
            <w:r>
              <w:rPr>
                <w:rStyle w:val="verdana_9"/>
              </w:rPr>
              <w:t xml:space="preserve">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décembre 2019</w:t>
            </w:r>
          </w:p>
        </w:tc>
      </w:tr>
      <w:tr>
        <w:trPr/>
        <w:tc>
          <w:tcPr>
            <w:tcW w:w="5000" w:type="dxa"/>
          </w:tcPr>
          <w:p>
            <w:pPr/>
            <w:r>
              <w:rPr>
                <w:rStyle w:val="verdana_9"/>
              </w:rPr>
              <w:t xml:space="preserve">Chypre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juillet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2025</w:t>
            </w:r>
          </w:p>
        </w:tc>
      </w:tr>
      <w:tr>
        <w:trPr/>
        <w:tc>
          <w:tcPr>
            <w:tcW w:w="5000" w:type="dxa"/>
          </w:tcPr>
          <w:p>
            <w:pPr/>
            <w:r>
              <w:rPr>
                <w:rStyle w:val="verdana_9"/>
              </w:rPr>
              <w:t xml:space="preserve">Corée, République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Côte d' Ivoire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2021</w:t>
            </w:r>
          </w:p>
        </w:tc>
      </w:tr>
      <w:tr>
        <w:trPr/>
        <w:tc>
          <w:tcPr>
            <w:tcW w:w="5000" w:type="dxa"/>
          </w:tcPr>
          <w:p>
            <w:pPr/>
            <w:r>
              <w:rPr>
                <w:rStyle w:val="verdana_9"/>
              </w:rPr>
              <w:t xml:space="preserve">Côte d' Ivoire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Côte d' Ivoire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Côte d' Ivoire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Croatie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Danemark</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tcPr>
          <w:p>
            <w:pPr/>
            <w:r>
              <w:rPr>
                <w:rStyle w:val="verdana_9"/>
              </w:rPr>
              <w:t xml:space="preserve">Dominique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Dominique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Dominique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Dominique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janvier 2021</w:t>
            </w:r>
          </w:p>
        </w:tc>
      </w:tr>
      <w:tr>
        <w:trPr/>
        <w:tc>
          <w:tcPr>
            <w:tcW w:w="5000" w:type="dxa"/>
          </w:tcPr>
          <w:p>
            <w:pPr/>
            <w:r>
              <w:rPr>
                <w:rStyle w:val="verdana_9"/>
              </w:rPr>
              <w:t xml:space="preserve">Égypte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2027</w:t>
            </w:r>
          </w:p>
        </w:tc>
      </w:tr>
      <w:tr>
        <w:trPr/>
        <w:tc>
          <w:tcPr>
            <w:tcW w:w="5000" w:type="dxa"/>
          </w:tcPr>
          <w:p>
            <w:pPr/>
            <w:r>
              <w:rPr>
                <w:rStyle w:val="verdana_9"/>
              </w:rPr>
              <w:t xml:space="preserve">Égypte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Égypte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Égypte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décembre 2027</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décembre 2021</w:t>
            </w:r>
          </w:p>
        </w:tc>
      </w:tr>
      <w:tr>
        <w:trPr/>
        <w:tc>
          <w:tcPr>
            <w:tcW w:w="5000" w:type="dxa"/>
          </w:tcPr>
          <w:p>
            <w:pPr/>
            <w:r>
              <w:rPr>
                <w:rStyle w:val="verdana_9"/>
              </w:rPr>
              <w:t xml:space="preserve">Émirats arabes unis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Émirats arabes unis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décembre 2022</w:t>
            </w:r>
          </w:p>
        </w:tc>
      </w:tr>
      <w:tr>
        <w:trPr/>
        <w:tc>
          <w:tcPr>
            <w:tcW w:w="5000" w:type="dxa"/>
          </w:tcPr>
          <w:p>
            <w:pPr/>
            <w:r>
              <w:rPr>
                <w:rStyle w:val="verdana_9"/>
              </w:rPr>
              <w:t xml:space="preserve">Émirats arabes unis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Émirats arabes unis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Équateur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15 janvier 2020</w:t>
            </w:r>
          </w:p>
        </w:tc>
      </w:tr>
      <w:tr>
        <w:trPr/>
        <w:tc>
          <w:tcPr>
            <w:tcW w:w="5000" w:type="dxa"/>
          </w:tcPr>
          <w:p>
            <w:pPr/>
            <w:r>
              <w:rPr>
                <w:rStyle w:val="verdana_9"/>
              </w:rPr>
              <w:t xml:space="preserve">Équateur </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15 juillet 2027</w:t>
            </w:r>
          </w:p>
        </w:tc>
      </w:tr>
      <w:tr>
        <w:trPr/>
        <w:tc>
          <w:tcPr>
            <w:tcW w:w="5000" w:type="dxa"/>
          </w:tcPr>
          <w:p>
            <w:pPr/>
            <w:r>
              <w:rPr>
                <w:rStyle w:val="verdana_9"/>
              </w:rPr>
              <w:t xml:space="preserve">Équateur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Équateur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15 janvier 2020</w:t>
            </w:r>
          </w:p>
        </w:tc>
      </w:tr>
      <w:tr>
        <w:trPr/>
        <w:tc>
          <w:tcPr>
            <w:tcW w:w="5000" w:type="dxa"/>
          </w:tcPr>
          <w:p>
            <w:pPr/>
            <w:r>
              <w:rPr>
                <w:rStyle w:val="verdana_9"/>
              </w:rPr>
              <w:t xml:space="preserve">Espagne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Eswatini, Royaume 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2021</w:t>
            </w:r>
          </w:p>
        </w:tc>
      </w:tr>
      <w:tr>
        <w:trPr/>
        <w:tc>
          <w:tcPr>
            <w:tcW w:w="5000" w:type="dxa"/>
          </w:tcPr>
          <w:p>
            <w:pPr/>
            <w:r>
              <w:rPr>
                <w:rStyle w:val="verdana_9"/>
              </w:rPr>
              <w:t xml:space="preserve">Eswatini, Royaume d'</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2025</w:t>
            </w:r>
          </w:p>
        </w:tc>
      </w:tr>
      <w:tr>
        <w:trPr/>
        <w:tc>
          <w:tcPr>
            <w:tcW w:w="5000" w:type="dxa"/>
          </w:tcPr>
          <w:p>
            <w:pPr/>
            <w:r>
              <w:rPr>
                <w:rStyle w:val="verdana_9"/>
              </w:rPr>
              <w:t xml:space="preserve">Eswatini, Royaume 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Eswatini, Royaume 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2027</w:t>
            </w:r>
          </w:p>
        </w:tc>
      </w:tr>
      <w:tr>
        <w:trPr/>
        <w:tc>
          <w:tcPr>
            <w:tcW w:w="5000" w:type="dxa"/>
          </w:tcPr>
          <w:p>
            <w:pPr/>
            <w:r>
              <w:rPr>
                <w:rStyle w:val="verdana_9"/>
              </w:rPr>
              <w:t xml:space="preserve">États-Unis d'Amérique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 d'Amérique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 d'Amérique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 d'Amérique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Fidji</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juin 2017</w:t>
            </w:r>
          </w:p>
        </w:tc>
      </w:tr>
      <w:tr>
        <w:trPr/>
        <w:tc>
          <w:tcPr>
            <w:tcW w:w="5000" w:type="dxa"/>
          </w:tcPr>
          <w:p>
            <w:pPr/>
            <w:r>
              <w:rPr>
                <w:rStyle w:val="verdana_9"/>
              </w:rPr>
              <w:t xml:space="preserve">Fidji</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Fidji</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Fidji</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Finlande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Gabon</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2027</w:t>
            </w:r>
          </w:p>
        </w:tc>
      </w:tr>
      <w:tr>
        <w:trPr/>
        <w:tc>
          <w:tcPr>
            <w:tcW w:w="5000" w:type="dxa"/>
          </w:tcPr>
          <w:p>
            <w:pPr/>
            <w:r>
              <w:rPr>
                <w:rStyle w:val="verdana_9"/>
              </w:rPr>
              <w:t xml:space="preserve">Gabon</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2035</w:t>
            </w:r>
          </w:p>
        </w:tc>
      </w:tr>
      <w:tr>
        <w:trPr/>
        <w:tc>
          <w:tcPr>
            <w:tcW w:w="5000" w:type="dxa"/>
          </w:tcPr>
          <w:p>
            <w:pPr/>
            <w:r>
              <w:rPr>
                <w:rStyle w:val="verdana_9"/>
              </w:rPr>
              <w:t xml:space="preserve">Gabon</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2030</w:t>
            </w:r>
          </w:p>
        </w:tc>
      </w:tr>
      <w:tr>
        <w:trPr/>
        <w:tc>
          <w:tcPr>
            <w:tcW w:w="5000" w:type="dxa"/>
          </w:tcPr>
          <w:p>
            <w:pPr/>
            <w:r>
              <w:rPr>
                <w:rStyle w:val="verdana_9"/>
              </w:rPr>
              <w:t xml:space="preserve">Gabon</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2027</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tcPr>
          <w:p>
            <w:pPr/>
            <w:r>
              <w:rPr>
                <w:rStyle w:val="verdana_9"/>
              </w:rPr>
              <w:t xml:space="preserve">Géorgie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juin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septembre 2025</w:t>
            </w:r>
          </w:p>
        </w:tc>
      </w:tr>
      <w:tr>
        <w:trPr/>
        <w:tc>
          <w:tcPr>
            <w:tcW w:w="5000" w:type="dxa"/>
          </w:tcPr>
          <w:p>
            <w:pPr/>
            <w:r>
              <w:rPr>
                <w:rStyle w:val="verdana_9"/>
              </w:rPr>
              <w:t xml:space="preserve">Grèce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Grenade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2025</w:t>
            </w:r>
          </w:p>
        </w:tc>
      </w:tr>
      <w:tr>
        <w:trPr/>
        <w:tc>
          <w:tcPr>
            <w:tcW w:w="5000" w:type="dxa"/>
          </w:tcPr>
          <w:p>
            <w:pPr/>
            <w:r>
              <w:rPr>
                <w:rStyle w:val="verdana_9"/>
              </w:rPr>
              <w:t xml:space="preserve">Grenade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2030</w:t>
            </w:r>
          </w:p>
        </w:tc>
      </w:tr>
      <w:tr>
        <w:trPr/>
        <w:tc>
          <w:tcPr>
            <w:tcW w:w="5000" w:type="dxa"/>
          </w:tcPr>
          <w:p>
            <w:pPr/>
            <w:r>
              <w:rPr>
                <w:rStyle w:val="verdana_9"/>
              </w:rPr>
              <w:t xml:space="preserve">Grenade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Grenade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 B</w:t>
            </w:r>
          </w:p>
        </w:tc>
        <w:tc>
          <w:tcPr>
            <w:tcW w:w="5000" w:type="dxa"/>
          </w:tcPr>
          <w:p>
            <w:pPr/>
            <w:r>
              <w:rPr>
                <w:rStyle w:val="verdana_9"/>
              </w:rPr>
              <w:t xml:space="preserve">22 février 2017 - 01 février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2023</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2023</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février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mars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mars 2024</w:t>
            </w:r>
          </w:p>
        </w:tc>
      </w:tr>
      <w:tr>
        <w:trPr/>
        <w:tc>
          <w:tcPr>
            <w:tcW w:w="5000" w:type="dxa"/>
          </w:tcPr>
          <w:p>
            <w:pPr/>
            <w:r>
              <w:rPr>
                <w:rStyle w:val="verdana_9"/>
              </w:rPr>
              <w:t xml:space="preserve">Hong Kong, 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2050</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2040</w:t>
            </w:r>
          </w:p>
        </w:tc>
      </w:tr>
      <w:tr>
        <w:trPr/>
        <w:tc>
          <w:tcPr>
            <w:tcW w:w="5000" w:type="dxa"/>
          </w:tcPr>
          <w:p>
            <w:pPr/>
            <w:r>
              <w:rPr>
                <w:rStyle w:val="verdana_9"/>
              </w:rPr>
              <w:t xml:space="preserve">Inde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14 octobre 2021</w:t>
            </w:r>
          </w:p>
        </w:tc>
      </w:tr>
      <w:tr>
        <w:trPr/>
        <w:tc>
          <w:tcPr>
            <w:tcW w:w="5000" w:type="dxa"/>
          </w:tcPr>
          <w:p>
            <w:pPr/>
            <w:r>
              <w:rPr>
                <w:rStyle w:val="verdana_9"/>
              </w:rPr>
              <w:t xml:space="preserve">Inde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14 avril 2019</w:t>
            </w:r>
          </w:p>
        </w:tc>
      </w:tr>
      <w:tr>
        <w:trPr/>
        <w:tc>
          <w:tcPr>
            <w:tcW w:w="5000" w:type="dxa"/>
          </w:tcPr>
          <w:p>
            <w:pPr/>
            <w:r>
              <w:rPr>
                <w:rStyle w:val="verdana_9"/>
              </w:rPr>
              <w:t xml:space="preserve">Inde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Jamaïque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2020</w:t>
            </w:r>
          </w:p>
        </w:tc>
      </w:tr>
      <w:tr>
        <w:trPr/>
        <w:tc>
          <w:tcPr>
            <w:tcW w:w="5000" w:type="dxa"/>
          </w:tcPr>
          <w:p>
            <w:pPr/>
            <w:r>
              <w:rPr>
                <w:rStyle w:val="verdana_9"/>
              </w:rPr>
              <w:t xml:space="preserve">Jamaïque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mars 2023</w:t>
            </w:r>
          </w:p>
        </w:tc>
      </w:tr>
      <w:tr>
        <w:trPr/>
        <w:tc>
          <w:tcPr>
            <w:tcW w:w="5000" w:type="dxa"/>
          </w:tcPr>
          <w:p>
            <w:pPr/>
            <w:r>
              <w:rPr>
                <w:rStyle w:val="verdana_9"/>
              </w:rPr>
              <w:t xml:space="preserve">Jamaïque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Jamaïque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2022</w:t>
            </w:r>
          </w:p>
        </w:tc>
      </w:tr>
      <w:tr>
        <w:trPr/>
        <w:tc>
          <w:tcPr>
            <w:tcW w:w="5000" w:type="dxa"/>
          </w:tcPr>
          <w:p>
            <w:pPr/>
            <w:r>
              <w:rPr>
                <w:rStyle w:val="verdana_9"/>
              </w:rPr>
              <w:t xml:space="preserve">Japon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Jordanie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Kazakhstan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2023</w:t>
            </w:r>
          </w:p>
        </w:tc>
      </w:tr>
      <w:tr>
        <w:trPr/>
        <w:tc>
          <w:tcPr>
            <w:tcW w:w="5000" w:type="dxa"/>
          </w:tcPr>
          <w:p>
            <w:pPr/>
            <w:r>
              <w:rPr>
                <w:rStyle w:val="verdana_9"/>
              </w:rPr>
              <w:t xml:space="preserve">Kazakhstan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octobre 2022</w:t>
            </w:r>
          </w:p>
        </w:tc>
      </w:tr>
      <w:tr>
        <w:trPr/>
        <w:tc>
          <w:tcPr>
            <w:tcW w:w="5000" w:type="dxa"/>
          </w:tcPr>
          <w:p>
            <w:pPr/>
            <w:r>
              <w:rPr>
                <w:rStyle w:val="verdana_9"/>
              </w:rPr>
              <w:t xml:space="preserve">Kazakhstan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Kazakhstan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8 septembre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août 2025</w:t>
            </w:r>
          </w:p>
        </w:tc>
      </w:tr>
      <w:tr>
        <w:trPr/>
        <w:tc>
          <w:tcPr>
            <w:tcW w:w="5000" w:type="dxa"/>
          </w:tcPr>
          <w:p>
            <w:pPr/>
            <w:r>
              <w:rPr>
                <w:rStyle w:val="verdana_9"/>
              </w:rPr>
              <w:t xml:space="preserve">Koweït, État du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Koweït, État du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2018</w:t>
            </w:r>
          </w:p>
        </w:tc>
      </w:tr>
      <w:tr>
        <w:trPr/>
        <w:tc>
          <w:tcPr>
            <w:tcW w:w="5000" w:type="dxa"/>
          </w:tcPr>
          <w:p>
            <w:pPr/>
            <w:r>
              <w:rPr>
                <w:rStyle w:val="verdana_9"/>
              </w:rPr>
              <w:t xml:space="preserve">Koweït, État du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Koweït, État du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tcPr>
          <w:p>
            <w:pPr/>
            <w:r>
              <w:rPr>
                <w:rStyle w:val="verdana_9"/>
              </w:rPr>
              <w:t xml:space="preserve">Lettonie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13 novembre 2019</w:t>
            </w:r>
          </w:p>
        </w:tc>
      </w:tr>
      <w:tr>
        <w:trPr/>
        <w:tc>
          <w:tcPr>
            <w:tcW w:w="5000" w:type="dxa"/>
          </w:tcPr>
          <w:p>
            <w:pPr/>
            <w:r>
              <w:rPr>
                <w:rStyle w:val="verdana_9"/>
              </w:rPr>
              <w:t xml:space="preserve">Macao, 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avril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tcPr>
          <w:p>
            <w:pPr/>
            <w:r>
              <w:rPr>
                <w:rStyle w:val="verdana_9"/>
              </w:rPr>
              <w:t xml:space="preserve">Malaisie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Maldives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juillet 2019</w:t>
            </w:r>
          </w:p>
        </w:tc>
      </w:tr>
      <w:tr>
        <w:trPr/>
        <w:tc>
          <w:tcPr>
            <w:tcW w:w="5000" w:type="dxa"/>
          </w:tcPr>
          <w:p>
            <w:pPr/>
            <w:r>
              <w:rPr>
                <w:rStyle w:val="verdana_9"/>
              </w:rPr>
              <w:t xml:space="preserve">Maldives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Maldives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Maldives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Malte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Maroc</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2026</w:t>
            </w:r>
          </w:p>
        </w:tc>
      </w:tr>
      <w:tr>
        <w:trPr/>
        <w:tc>
          <w:tcPr>
            <w:tcW w:w="5000" w:type="dxa"/>
          </w:tcPr>
          <w:p>
            <w:pPr/>
            <w:r>
              <w:rPr>
                <w:rStyle w:val="verdana_9"/>
              </w:rPr>
              <w:t xml:space="preserve">Maurice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2019</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Mexique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Moldavie, République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Mongolie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Mongolie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Mongolie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2020</w:t>
            </w:r>
          </w:p>
        </w:tc>
      </w:tr>
      <w:tr>
        <w:trPr/>
        <w:tc>
          <w:tcPr>
            <w:tcW w:w="5000" w:type="dxa"/>
          </w:tcPr>
          <w:p>
            <w:pPr/>
            <w:r>
              <w:rPr>
                <w:rStyle w:val="verdana_9"/>
              </w:rPr>
              <w:t xml:space="preserve">Mongolie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Monténégro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Monténégro</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2025</w:t>
            </w:r>
          </w:p>
        </w:tc>
      </w:tr>
      <w:tr>
        <w:trPr/>
        <w:tc>
          <w:tcPr>
            <w:tcW w:w="5000" w:type="dxa"/>
          </w:tcPr>
          <w:p>
            <w:pPr/>
            <w:r>
              <w:rPr>
                <w:rStyle w:val="verdana_9"/>
              </w:rPr>
              <w:t xml:space="preserve">Monténégro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Monténégro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tcPr>
          <w:p>
            <w:pPr/>
            <w:r>
              <w:rPr>
                <w:rStyle w:val="verdana_9"/>
              </w:rPr>
              <w:t xml:space="preserve">Namibie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Namibie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décembre 2026</w:t>
            </w:r>
          </w:p>
        </w:tc>
      </w:tr>
      <w:tr>
        <w:trPr/>
        <w:tc>
          <w:tcPr>
            <w:tcW w:w="5000" w:type="dxa"/>
          </w:tcPr>
          <w:p>
            <w:pPr/>
            <w:r>
              <w:rPr>
                <w:rStyle w:val="verdana_9"/>
              </w:rPr>
              <w:t xml:space="preserve">Namibie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15 mars 2025</w:t>
            </w:r>
          </w:p>
        </w:tc>
      </w:tr>
      <w:tr>
        <w:trPr/>
        <w:tc>
          <w:tcPr>
            <w:tcW w:w="5000" w:type="dxa"/>
          </w:tcPr>
          <w:p>
            <w:pPr/>
            <w:r>
              <w:rPr>
                <w:rStyle w:val="verdana_9"/>
              </w:rPr>
              <w:t xml:space="preserve">Namibie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2032</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juin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2019</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tcPr>
          <w:p>
            <w:pPr/>
            <w:r>
              <w:rPr>
                <w:rStyle w:val="verdana_9"/>
              </w:rPr>
              <w:t xml:space="preserve">Nigéria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Nigéria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décembre 2025</w:t>
            </w:r>
          </w:p>
        </w:tc>
      </w:tr>
      <w:tr>
        <w:trPr/>
        <w:tc>
          <w:tcPr>
            <w:tcW w:w="5000" w:type="dxa"/>
          </w:tcPr>
          <w:p>
            <w:pPr/>
            <w:r>
              <w:rPr>
                <w:rStyle w:val="verdana_9"/>
              </w:rPr>
              <w:t xml:space="preserve">Nigéria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décembre 2020</w:t>
            </w:r>
          </w:p>
        </w:tc>
      </w:tr>
      <w:tr>
        <w:trPr/>
        <w:tc>
          <w:tcPr>
            <w:tcW w:w="5000" w:type="dxa"/>
          </w:tcPr>
          <w:p>
            <w:pPr/>
            <w:r>
              <w:rPr>
                <w:rStyle w:val="verdana_9"/>
              </w:rPr>
              <w:t xml:space="preserve">Nigéria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2024</w:t>
            </w:r>
          </w:p>
        </w:tc>
      </w:tr>
      <w:tr>
        <w:trPr/>
        <w:tc>
          <w:tcPr>
            <w:tcW w:w="5000" w:type="dxa"/>
          </w:tcPr>
          <w:p>
            <w:pPr/>
            <w:r>
              <w:rPr>
                <w:rStyle w:val="verdana_9"/>
              </w:rPr>
              <w:t xml:space="preserve">Norvège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juillet 2025</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juillet 2023</w:t>
            </w:r>
          </w:p>
        </w:tc>
      </w:tr>
      <w:tr>
        <w:trPr/>
        <w:tc>
          <w:tcPr>
            <w:tcW w:w="5000" w:type="dxa"/>
          </w:tcPr>
          <w:p>
            <w:pPr/>
            <w:r>
              <w:rPr>
                <w:rStyle w:val="verdana_9"/>
              </w:rPr>
              <w:t xml:space="preserve">Pakistan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Pakistan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2022</w:t>
            </w:r>
          </w:p>
        </w:tc>
      </w:tr>
      <w:tr>
        <w:trPr/>
        <w:tc>
          <w:tcPr>
            <w:tcW w:w="5000" w:type="dxa"/>
          </w:tcPr>
          <w:p>
            <w:pPr/>
            <w:r>
              <w:rPr>
                <w:rStyle w:val="verdana_9"/>
              </w:rPr>
              <w:t xml:space="preserve">Pakistan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Pakistan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2019</w:t>
            </w:r>
          </w:p>
        </w:tc>
      </w:tr>
      <w:tr>
        <w:trPr/>
        <w:tc>
          <w:tcPr>
            <w:tcW w:w="5000" w:type="dxa"/>
          </w:tcPr>
          <w:p>
            <w:pPr/>
            <w:r>
              <w:rPr>
                <w:rStyle w:val="verdana_9"/>
              </w:rPr>
              <w:t xml:space="preserve">Panama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01 juin 2022</w:t>
            </w:r>
          </w:p>
        </w:tc>
      </w:tr>
      <w:tr>
        <w:trPr/>
        <w:tc>
          <w:tcPr>
            <w:tcW w:w="5000" w:type="dxa"/>
          </w:tcPr>
          <w:p>
            <w:pPr/>
            <w:r>
              <w:rPr>
                <w:rStyle w:val="verdana_9"/>
              </w:rPr>
              <w:t xml:space="preserve">Panama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janvier 2022</w:t>
            </w:r>
          </w:p>
        </w:tc>
      </w:tr>
      <w:tr>
        <w:trPr/>
        <w:tc>
          <w:tcPr>
            <w:tcW w:w="5000" w:type="dxa"/>
          </w:tcPr>
          <w:p>
            <w:pPr/>
            <w:r>
              <w:rPr>
                <w:rStyle w:val="verdana_9"/>
              </w:rPr>
              <w:t xml:space="preserve">Panama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Panama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Papouasie-Nouvelle-Guinée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Papouasie-Nouvelle-Guinée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Papouasie-Nouvelle-Guinée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Papouasie-Nouvelle-Guinée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01 septembre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2021</w:t>
            </w:r>
          </w:p>
        </w:tc>
      </w:tr>
      <w:tr>
        <w:trPr/>
        <w:tc>
          <w:tcPr>
            <w:tcW w:w="5000" w:type="dxa"/>
          </w:tcPr>
          <w:p>
            <w:pPr/>
            <w:r>
              <w:rPr>
                <w:rStyle w:val="verdana_9"/>
              </w:rPr>
              <w:t xml:space="preserve">Pérou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2022</w:t>
            </w:r>
          </w:p>
        </w:tc>
      </w:tr>
      <w:tr>
        <w:trPr/>
        <w:tc>
          <w:tcPr>
            <w:tcW w:w="5000" w:type="dxa"/>
          </w:tcPr>
          <w:p>
            <w:pPr/>
            <w:r>
              <w:rPr>
                <w:rStyle w:val="verdana_9"/>
              </w:rPr>
              <w:t xml:space="preserve">Philippines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février 2022</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février 2022</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tcPr>
          <w:p>
            <w:pPr/>
            <w:r>
              <w:rPr>
                <w:rStyle w:val="verdana_9"/>
              </w:rPr>
              <w:t xml:space="preserve">République Dominicaine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Dominicaine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2021</w:t>
            </w:r>
          </w:p>
        </w:tc>
      </w:tr>
      <w:tr>
        <w:trPr/>
        <w:tc>
          <w:tcPr>
            <w:tcW w:w="5000" w:type="dxa"/>
          </w:tcPr>
          <w:p>
            <w:pPr/>
            <w:r>
              <w:rPr>
                <w:rStyle w:val="verdana_9"/>
              </w:rPr>
              <w:t xml:space="preserve">République Dominicaine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Dominicaine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kirghize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kirghize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République kirghize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2023</w:t>
            </w:r>
          </w:p>
        </w:tc>
      </w:tr>
      <w:tr>
        <w:trPr/>
        <w:tc>
          <w:tcPr>
            <w:tcW w:w="5000" w:type="dxa"/>
          </w:tcPr>
          <w:p>
            <w:pPr/>
            <w:r>
              <w:rPr>
                <w:rStyle w:val="verdana_9"/>
              </w:rPr>
              <w:t xml:space="preserve">République kirghize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République slovaque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mars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août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mars 2021</w:t>
            </w:r>
          </w:p>
        </w:tc>
      </w:tr>
      <w:tr>
        <w:trPr/>
        <w:tc>
          <w:tcPr>
            <w:tcW w:w="5000" w:type="dxa"/>
          </w:tcPr>
          <w:p>
            <w:pPr/>
            <w:r>
              <w:rPr>
                <w:rStyle w:val="verdana_9"/>
              </w:rPr>
              <w:t xml:space="preserve">Saint-Kitts-et-Nevis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2017</w:t>
            </w:r>
          </w:p>
        </w:tc>
      </w:tr>
      <w:tr>
        <w:trPr/>
        <w:tc>
          <w:tcPr>
            <w:tcW w:w="5000" w:type="dxa"/>
          </w:tcPr>
          <w:p>
            <w:pPr/>
            <w:r>
              <w:rPr>
                <w:rStyle w:val="verdana_9"/>
              </w:rPr>
              <w:t xml:space="preserve">Saint-Kitts-et-Nevis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Saint-Kitts-et-Nevis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Saint-Kitts-et-Nevis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Saint-Vincent-et-les Grenadines</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Saint-Vincent-et-les Grenadines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Saint-Vincent-et-les Grenadines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Saint-Vincent-et-les Grenadines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Sainte-Lucie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décembre 2023</w:t>
            </w:r>
          </w:p>
        </w:tc>
      </w:tr>
      <w:tr>
        <w:trPr/>
        <w:tc>
          <w:tcPr>
            <w:tcW w:w="5000" w:type="dxa"/>
          </w:tcPr>
          <w:p>
            <w:pPr/>
            <w:r>
              <w:rPr>
                <w:rStyle w:val="verdana_9"/>
              </w:rPr>
              <w:t xml:space="preserve">Sainte-Lucie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décembre 2026</w:t>
            </w:r>
          </w:p>
        </w:tc>
      </w:tr>
      <w:tr>
        <w:trPr/>
        <w:tc>
          <w:tcPr>
            <w:tcW w:w="5000" w:type="dxa"/>
          </w:tcPr>
          <w:p>
            <w:pPr/>
            <w:r>
              <w:rPr>
                <w:rStyle w:val="verdana_9"/>
              </w:rPr>
              <w:t xml:space="preserve">Sainte-Lucie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Sainte-Lucie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juin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octobre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2023</w:t>
            </w:r>
          </w:p>
        </w:tc>
      </w:tr>
      <w:tr>
        <w:trPr/>
        <w:tc>
          <w:tcPr>
            <w:tcW w:w="5000" w:type="dxa"/>
          </w:tcPr>
          <w:p>
            <w:pPr/>
            <w:r>
              <w:rPr>
                <w:rStyle w:val="verdana_9"/>
              </w:rPr>
              <w:t xml:space="preserve">Singapour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10 octobre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10 octobre 2025</w:t>
            </w:r>
          </w:p>
        </w:tc>
      </w:tr>
      <w:tr>
        <w:trPr/>
        <w:tc>
          <w:tcPr>
            <w:tcW w:w="5000" w:type="dxa"/>
          </w:tcPr>
          <w:p>
            <w:pPr/>
            <w:r>
              <w:rPr>
                <w:rStyle w:val="verdana_9"/>
              </w:rPr>
              <w:t xml:space="preserve">Suède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Tadjikistan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Tadjikistan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décembre 2023</w:t>
            </w:r>
          </w:p>
        </w:tc>
      </w:tr>
      <w:tr>
        <w:trPr/>
        <w:tc>
          <w:tcPr>
            <w:tcW w:w="5000" w:type="dxa"/>
          </w:tcPr>
          <w:p>
            <w:pPr/>
            <w:r>
              <w:rPr>
                <w:rStyle w:val="verdana_9"/>
              </w:rPr>
              <w:t xml:space="preserve">Tadjikistan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Tadjikistan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décembre 2019</w:t>
            </w:r>
          </w:p>
        </w:tc>
      </w:tr>
      <w:tr>
        <w:trPr/>
        <w:tc>
          <w:tcPr>
            <w:tcW w:w="5000" w:type="dxa"/>
          </w:tcPr>
          <w:p>
            <w:pPr/>
            <w:r>
              <w:rPr>
                <w:rStyle w:val="verdana_9"/>
              </w:rPr>
              <w:t xml:space="preserve">Taipei chinois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décembre 2028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2030</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Thaïlande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2020</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mars 2025</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Trinité-et-Tobago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2025</w:t>
            </w:r>
          </w:p>
        </w:tc>
      </w:tr>
      <w:tr>
        <w:trPr/>
        <w:tc>
          <w:tcPr>
            <w:tcW w:w="5000" w:type="dxa"/>
          </w:tcPr>
          <w:p>
            <w:pPr/>
            <w:r>
              <w:rPr>
                <w:rStyle w:val="verdana_9"/>
              </w:rPr>
              <w:t xml:space="preserve">Tunisie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Tunisie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Tunisie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Tunisie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Ukraine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2019</w:t>
            </w:r>
          </w:p>
        </w:tc>
      </w:tr>
      <w:tr>
        <w:trPr/>
        <w:tc>
          <w:tcPr>
            <w:tcW w:w="5000" w:type="dxa"/>
          </w:tcPr>
          <w:p>
            <w:pPr/>
            <w:r>
              <w:rPr>
                <w:rStyle w:val="verdana_9"/>
              </w:rPr>
              <w:t xml:space="preserve">Ukraine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2020</w:t>
            </w:r>
          </w:p>
        </w:tc>
      </w:tr>
      <w:tr>
        <w:trPr/>
        <w:tc>
          <w:tcPr>
            <w:tcW w:w="5000" w:type="dxa"/>
          </w:tcPr>
          <w:p>
            <w:pPr/>
            <w:r>
              <w:rPr>
                <w:rStyle w:val="verdana_9"/>
              </w:rPr>
              <w:t xml:space="preserve">Ukraine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2019</w:t>
            </w:r>
          </w:p>
        </w:tc>
      </w:tr>
      <w:tr>
        <w:trPr/>
        <w:tc>
          <w:tcPr>
            <w:tcW w:w="5000" w:type="dxa"/>
          </w:tcPr>
          <w:p>
            <w:pPr/>
            <w:r>
              <w:rPr>
                <w:rStyle w:val="verdana_9"/>
              </w:rPr>
              <w:t xml:space="preserve">Ukraine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2021</w:t>
            </w:r>
          </w:p>
        </w:tc>
      </w:tr>
      <w:tr>
        <w:trPr/>
        <w:tc>
          <w:tcPr>
            <w:tcW w:w="5000" w:type="dxa"/>
          </w:tcPr>
          <w:p>
            <w:pPr/>
            <w:r>
              <w:rPr>
                <w:rStyle w:val="verdana_9"/>
              </w:rPr>
              <w:t xml:space="preserve">Union européenne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Venezuela, République bolivarienne du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2022</w:t>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bl>
    <w:p>
      <w:pPr/>
      <w:r>
        <w:rPr/>
        <w:t xml:space="preserve"/>
      </w:r>
    </w:p>
    <w:p>
      <w:pPr/>
      <w:r>
        <w:rPr>
          <w:rStyle w:val="verdana_9_bold"/>
        </w:rPr>
        <w:t xml:space="preserve">Légende</w:t>
      </w:r>
    </w:p>
    <w:p>
      <w:pPr>
        <w:pStyle w:val="less_spacing_paragraph"/>
      </w:pPr>
      <w:r>
        <w:rPr>
          <w:rStyle w:val="verdana_9_bg_grey"/>
        </w:rPr>
        <w:t xml:space="preserve">Les Membres surlignés en gris sont des PMA</w:t>
      </w:r>
    </w:p>
    <w:p>
      <w:pPr>
        <w:sectPr>
          <w:pgSz w:orient="portrait" w:w="11905.511811023622" w:h="16837.79527559055"/>
          <w:pgMar w:top="1140" w:right="1440" w:bottom="1140" w:left="1440" w:header="720" w:footer="720" w:gutter="0"/>
          <w:cols w:num="1" w:space="720"/>
        </w:sectPr>
      </w:pPr>
    </w:p>
    <w:p>
      <w:pPr/>
      <w:r>
        <w:rPr>
          <w:rStyle w:val="verdana_10_bold"/>
        </w:rPr>
        <w:t xml:space="preserve">3. RÉSUMÉ DES NOTIFICATIONS PRÉSENTÉES AU TITRE DES ARTICLES 22.1 ET 22.2 </w:t>
      </w:r>
      <w:r>
        <w:rPr>
          <w:rStyle w:val="verdana_10"/>
        </w:rPr>
        <w:t xml:space="preserve"> - ASSISTANCE TECHNIQUE ET SOUTIEN POUR LE RENFORCEMENT DES CAPACITÉS FOURNIS PAR LES MEMBRES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Assistance Technique et soutien pour le renforcement des capacités fournis par les Membres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Membres qui ont notifié</w:t>
            </w:r>
          </w:p>
        </w:tc>
        <w:tc>
          <w:tcPr>
            <w:tcW w:w="1500" w:type="dxa"/>
            <w:vAlign w:val="center"/>
          </w:tcPr>
          <w:p>
            <w:pPr>
              <w:jc w:val="center"/>
            </w:pPr>
            <w:r>
              <w:rPr>
                <w:rStyle w:val="verdana_9"/>
              </w:rPr>
              <w:t xml:space="preserve">18</w:t>
            </w:r>
          </w:p>
        </w:tc>
        <w:tc>
          <w:tcPr>
            <w:tcW w:w="1500" w:type="dxa"/>
            <w:vAlign w:val="center"/>
          </w:tcPr>
          <w:p>
            <w:pPr>
              <w:jc w:val="center"/>
            </w:pPr>
            <w:r>
              <w:rPr>
                <w:rStyle w:val="verdana_9"/>
              </w:rPr>
              <w:t xml:space="preserve">38</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Membre</w:t>
            </w:r>
          </w:p>
        </w:tc>
        <w:tc>
          <w:tcPr>
            <w:tcW w:w="1700" w:type="dxa"/>
            <w:vAlign w:val="center"/>
          </w:tcPr>
          <w:p>
            <w:pPr>
              <w:jc w:val="center"/>
            </w:pPr>
            <w:r>
              <w:rPr>
                <w:rFonts w:ascii="Verdana" w:hAnsi="Verdana" w:eastAsia="Verdana" w:cs="Verdana"/>
                <w:sz w:val="18"/>
                <w:szCs w:val="18"/>
                <w:b w:val="1"/>
                <w:bCs w:val="1"/>
              </w:rPr>
              <w:t xml:space="preserve">Art. 22.1 
(2016 période considérée)</w:t>
            </w:r>
          </w:p>
        </w:tc>
        <w:tc>
          <w:tcPr>
            <w:tcW w:w="1700" w:type="dxa"/>
            <w:vAlign w:val="center"/>
          </w:tcPr>
          <w:p>
            <w:pPr>
              <w:jc w:val="center"/>
            </w:pPr>
            <w:r>
              <w:rPr>
                <w:rFonts w:ascii="Verdana" w:hAnsi="Verdana" w:eastAsia="Verdana" w:cs="Verdana"/>
                <w:sz w:val="18"/>
                <w:szCs w:val="18"/>
                <w:b w:val="1"/>
                <w:bCs w:val="1"/>
              </w:rPr>
              <w:t xml:space="preserve">Art. 22.1 
(2017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2017)</w:t>
            </w:r>
          </w:p>
        </w:tc>
        <w:tc>
          <w:tcPr>
            <w:tcW w:w="1700" w:type="dxa"/>
            <w:vAlign w:val="center"/>
          </w:tcPr>
          <w:p>
            <w:pPr>
              <w:jc w:val="center"/>
            </w:pPr>
            <w:r>
              <w:rPr>
                <w:rFonts w:ascii="Verdana" w:hAnsi="Verdana" w:eastAsia="Verdana" w:cs="Verdana"/>
                <w:sz w:val="18"/>
                <w:szCs w:val="18"/>
                <w:b w:val="1"/>
                <w:bCs w:val="1"/>
              </w:rPr>
              <w:t xml:space="preserve">Art. 22.1 
(2018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2018)</w:t>
            </w:r>
          </w:p>
        </w:tc>
        <w:tc>
          <w:tcPr>
            <w:tcW w:w="1700" w:type="dxa"/>
            <w:vAlign w:val="center"/>
          </w:tcPr>
          <w:p>
            <w:pPr>
              <w:jc w:val="center"/>
            </w:pPr>
            <w:r>
              <w:rPr>
                <w:rFonts w:ascii="Verdana" w:hAnsi="Verdana" w:eastAsia="Verdana" w:cs="Verdana"/>
                <w:sz w:val="18"/>
                <w:szCs w:val="18"/>
                <w:b w:val="1"/>
                <w:bCs w:val="1"/>
              </w:rPr>
              <w:t xml:space="preserve">Art. 22.1 
(2019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2019)</w:t>
            </w:r>
          </w:p>
        </w:tc>
        <w:tc>
          <w:tcPr>
            <w:tcW w:w="1700" w:type="dxa"/>
            <w:vAlign w:val="center"/>
          </w:tcPr>
          <w:p>
            <w:pPr>
              <w:jc w:val="center"/>
            </w:pPr>
            <w:r>
              <w:rPr>
                <w:rFonts w:ascii="Verdana" w:hAnsi="Verdana" w:eastAsia="Verdana" w:cs="Verdana"/>
                <w:sz w:val="18"/>
                <w:szCs w:val="18"/>
                <w:b w:val="1"/>
                <w:bCs w:val="1"/>
              </w:rPr>
              <w:t xml:space="preserve">Art. 22.1 
(2020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2020)</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Allemagne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Australie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Autriche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Belgique</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Bulgarie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Canada</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Chine</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Chypre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Croatie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Danemark</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Slovénie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Espagne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États-Unis d'Amérique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Estonie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Finlande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République française</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Grèce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Hongrie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Irlande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Italie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Japon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Lettonie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Lituanie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Luxembourg</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Malte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Norvège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Nouvelle-Zélande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Pays-Bas</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Pologne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Portugal</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Royaume-Uni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République tchèque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République slovaque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Roumanie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Suède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Suisse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Le Territoire douanier distinct de Taiwan, Penghu, Kinmen, Matsu (Taipei Chinois)</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Union européenne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NOTIFICATIONS AU TITRE DE L'ARTICLE 22.3 </w:t>
      </w:r>
      <w:r>
        <w:rPr>
          <w:rStyle w:val="verdana_10"/>
        </w:rPr>
        <w:t xml:space="preserve"> - POINTS DE CONTACT DES PAYS EN DÉVELOPPEMENT ET DES PMA QUI DEMANDENT UNE ASSISTANCE TECHNIQUE ET UN SOUTIEN POUR LE RENFORCEMENT DES CAPACITÉS </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Points de contact des Membres qui demandent des mesures d'ATRC</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Membres qui ont notifié des engagements relevant de la catégorie C</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Membres qui ont présenté une notification au titre de l'article 22.3</w:t>
            </w:r>
          </w:p>
        </w:tc>
        <w:tc>
          <w:tcPr>
            <w:tcW w:w="750" w:type="dxa"/>
            <w:vAlign w:val="center"/>
          </w:tcPr>
          <w:p>
            <w:pPr>
              <w:jc w:val="center"/>
            </w:pPr>
            <w:r>
              <w:rPr>
                <w:rStyle w:val="verdana_9"/>
              </w:rPr>
              <w:t xml:space="preserve">72</w:t>
            </w:r>
          </w:p>
        </w:tc>
        <w:tc>
          <w:tcPr>
            <w:tcW w:w="750" w:type="dxa"/>
            <w:vAlign w:val="center"/>
          </w:tcPr>
          <w:p>
            <w:pPr>
              <w:jc w:val="center"/>
            </w:pPr>
            <w:r>
              <w:rPr>
                <w:rStyle w:val="verdana_9"/>
              </w:rPr>
              <w:t xml:space="preserve">74%</w:t>
            </w:r>
          </w:p>
        </w:tc>
      </w:tr>
      <w:tr>
        <w:trPr/>
        <w:tc>
          <w:tcPr>
            <w:tcW w:w="4500" w:type="dxa"/>
            <w:vAlign w:val="center"/>
          </w:tcPr>
          <w:p>
            <w:pPr/>
            <w:r>
              <w:rPr>
                <w:rStyle w:val="verdana_9"/>
              </w:rPr>
              <w:t xml:space="preserve"> Membres qui n'ont pas présenté de notification au titre de l'article 22.3</w:t>
            </w:r>
          </w:p>
        </w:tc>
        <w:tc>
          <w:tcPr>
            <w:tcW w:w="750" w:type="dxa"/>
            <w:vAlign w:val="center"/>
          </w:tcPr>
          <w:p>
            <w:pPr>
              <w:jc w:val="center"/>
            </w:pPr>
            <w:r>
              <w:rPr>
                <w:rStyle w:val="verdana_9"/>
              </w:rPr>
              <w:t xml:space="preserve">25</w:t>
            </w:r>
          </w:p>
        </w:tc>
        <w:tc>
          <w:tcPr>
            <w:tcW w:w="750" w:type="dxa"/>
            <w:vAlign w:val="center"/>
          </w:tcPr>
          <w:p>
            <w:pPr>
              <w:jc w:val="center"/>
            </w:pPr>
            <w:r>
              <w:rPr>
                <w:rStyle w:val="verdana_9"/>
              </w:rPr>
              <w:t xml:space="preserve">26%</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Membre</w:t>
            </w:r>
          </w:p>
        </w:tc>
        <w:tc>
          <w:tcPr>
            <w:tcW w:w="3000" w:type="dxa"/>
            <w:vAlign w:val="center"/>
          </w:tcPr>
          <w:p>
            <w:pPr>
              <w:jc w:val="center"/>
            </w:pPr>
            <w:r>
              <w:rPr>
                <w:rFonts w:ascii="Verdana" w:hAnsi="Verdana" w:eastAsia="Verdana" w:cs="Verdana"/>
                <w:sz w:val="18"/>
                <w:szCs w:val="18"/>
                <w:b w:val="1"/>
                <w:bCs w:val="1"/>
              </w:rPr>
              <w:t xml:space="preserve">Ratification</w:t>
            </w:r>
          </w:p>
        </w:tc>
        <w:tc>
          <w:tcPr>
            <w:tcW w:w="4500" w:type="dxa"/>
            <w:vAlign w:val="center"/>
          </w:tcPr>
          <w:p>
            <w:pPr>
              <w:jc w:val="center"/>
            </w:pPr>
            <w:r>
              <w:rPr>
                <w:rFonts w:ascii="Verdana" w:hAnsi="Verdana" w:eastAsia="Verdana" w:cs="Verdana"/>
                <w:sz w:val="18"/>
                <w:szCs w:val="18"/>
                <w:b w:val="1"/>
                <w:bCs w:val="1"/>
              </w:rPr>
              <w:t xml:space="preserve">Engagements de la Cat. C</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Afghanistan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Albanie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Antigua et Barbuda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Arménie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Bahreïn, Royaume 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Barbade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Belize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Bénin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Bolivie, État plurinational de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Botswana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Cabo Verde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Cambodge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Cameroun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Tchad</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Comores</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Congo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Costa Rica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Côte d' Ivoire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Cuba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Dominique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Équateur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Égypte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El Salvador</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Eswatini, Royaume d'</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Fidji</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Philippines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Gabon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Gambie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Géorgie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Ghana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Grenade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Guatemala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Guinée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Guyana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Honduras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Îles Salomon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Jamaïque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Jordanie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Kazakhstan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Kenya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Libéria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Maldives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Mali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Maroc</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Maurice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Mauritanie</w:t>
            </w:r>
          </w:p>
        </w:tc>
        <w:tc>
          <w:tcPr>
            <w:tcW w:w="3500" w:type="dxa"/>
            <w:shd w:val="clear" w:fill="F0F0F0"/>
          </w:tcPr>
          <w:p>
            <w:pPr/>
            <w:r>
              <w:rPr>
                <w:rStyle w:val="verdana_9"/>
              </w:rPr>
              <w:t xml:space="preserve">Non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Moldavie, République 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Mongolie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Monténégro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Namibie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Népal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Nicaragua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Niger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Nigéria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Pakistan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Panama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Papouasie-Nouvelle-Guinée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Paraguay</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Pérou</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République centrafricaine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République démocratique populaire lao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République démocratique du Congo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République Dominicaine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République kirghize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Saint-Kitts-et-Nevis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Samoa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Saint-Vincent-et-les Grenadines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Sainte-Lucie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Sénégal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Seychelles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Sierra Leone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Sri Lanka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Suriname</w:t>
            </w:r>
          </w:p>
        </w:tc>
        <w:tc>
          <w:tcPr>
            <w:tcW w:w="3500" w:type="dxa"/>
          </w:tcPr>
          <w:p>
            <w:pPr/>
            <w:r>
              <w:rPr>
                <w:rStyle w:val="verdana_9"/>
              </w:rPr>
              <w:t xml:space="preserve">Non</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Tanzanie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Tadjikistan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Timor oriental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Tonga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Trinité-et-Tobago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Tunisie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Ukraine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Ouganda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Vanuatu</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Viet Nam</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Zambie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Zimbabwe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bl>
    <w:p>
      <w:pPr/>
      <w:r>
        <w:rPr>
          <w:rStyle w:val="verdana_9"/>
        </w:rPr>
        <w:t xml:space="preserve"/>
      </w:r>
    </w:p>
    <w:p>
      <w:pPr/>
      <w:r>
        <w:rPr>
          <w:rStyle w:val="verdana_9_bold"/>
        </w:rPr>
        <w:t xml:space="preserve">Updated on 24 avril 2026</w:t>
      </w:r>
      <w:r>
        <w:rPr>
          <w:rStyle w:val="verdana_9"/>
        </w:rPr>
        <w:t xml:space="preserve"> (date of the last notification received)</w:t>
      </w:r>
    </w:p>
    <w:p>
      <w:pPr/>
      <w:r>
        <w:rPr>
          <w:rStyle w:val="verdana_9"/>
        </w:rPr>
        <w:t xml:space="preserve">Pour des renseignements supplémentaires concernant les notifications, veuillez consulter notre site Web à l'adresse suivante:</w:t>
      </w:r>
    </w:p>
    <w:p>
      <w:hyperlink r:id="rId7" w:history="1">
        <w:r>
          <w:rPr>
            <w:rStyle w:val="verdana_10_blue"/>
          </w:rPr>
          <w:t xml:space="preserve">www.tfadatabase.org</w:t>
        </w:r>
      </w:hyperlink>
    </w:p>
    <w:p>
      <w:pPr/>
      <w:r>
        <w:rPr>
          <w:rStyle w:val="verdana_9"/>
        </w:rPr>
        <w:t xml:space="preserve">Une version en ligne de cette matrice est disponible à l'adresse suivante:</w:t>
      </w:r>
    </w:p>
    <w:p>
      <w:hyperlink r:id="rId8" w:history="1">
        <w:r>
          <w:rPr>
            <w:rStyle w:val="verdana_10_blue"/>
          </w:rPr>
          <w:t xml:space="preserve">https://www.tfadatabase.org/notifications-matrix</w:t>
        </w:r>
      </w:hyperlink>
    </w:p>
    <w:p>
      <w:pPr/>
      <w:r>
        <w:rPr>
          <w:rStyle w:val="verdana_9"/>
        </w:rPr>
        <w:t xml:space="preserve">Le Secrétariat de l'OMC reste à la disposition des Membres pour toute assistance concernant le processus de notification.</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y Barbuda, Argentina, Armenia, Bahrein, Reino de, Barbados, Belice, Bolivia, Estado Plurinacional de , Botswana, Brasil, Brunei Darussalam, Cabo Verde , Camerún, Chile, China, Colombia, Congo, Corea, República de, Costa Rica, Côte d'Ivoire , Cuba, Dominica, Ecuador, Egipto, El Salvador, Emiratos Árabes Unidos, Eswatini, Reino de , Fiji, Filipinas, Gabón, Georgia, Ghana, Granada, Guatemala, Guyana, Honduras, Hong Kong, China, India, Indonesia, Israel, Jamaica, Jordania, Kazajstán, Kenya, Kuwait, Estado de, Macao, China, Macedonia del Norte, Malasia, Maldivas, Marruecos, Mauricio, México, Moldova, República de, Mongolia, Montenegro, Namibia, Nicaragua, Nigeria, Omán, Pakistán, Panamá, Papua Nueva Guinea, Paraguay, Perú, Qatar, Reino de Arabia Saudita, República Dominicana, República Kirguisa, Saint Kitts y Nevis , Samoa, San Vicente y las Granadinas, Santa Lucía, Seychelles, Singapur, Sri Lanka, Sudáfrica, Suriname, Tailandia, Territorio Aduanero Distinto de Taiwán, Penghu, Kinmen y Matsu (Taipei Chino), Tayikistán, Tonga, Trinidad y Tabago, Túnez, Türkiye, Ucrania, Uruguay, Vanuatu, Viet Nam, Zimbabwe, Albania, Antigua y Barbuda, Argentina, Armenia, Bahrein, Reino de, Barbados, Belice, Bolivia, Estado Plurinacional de , Botswana, Brasil, Brunei Darussalam, Cabo Verde , Camerún, Chile, China, Colombia, Congo, Corea, República de, Costa Rica, Côte d'Ivoire , Cuba, Dominica, Ecuador, Egipto, El Salvador, Emiratos Árabes Unidos, Eswatini, Reino de , Fiji, Filipinas, Gabón, Georgia, Ghana, Granada, Guatemala, Guyana, Honduras, Hong Kong, China, India, Indonesia, Israel, Jamaica, Jordania, Kazajstán, Kenya, Kuwait, Estado de, Macao, China, Macedonia del Norte, Malasia, Maldivas, Marruecos, Mauricio, México, Moldova, República de, Mongolia, Montenegro, Namibia, Nicaragua, Nigeria, Omán, Pakistán, Panamá, Papua Nueva Guinea, Paraguay, Perú, Qatar, Reino de Arabia Saudita, República Dominicana, República Kirguisa, Saint Kitts y Nevis , Samoa, San Vicente y las Granadinas, Santa Lucía, Seychelles, Singapur, Sri Lanka, Sudáfrica, Suriname, Tailandia, Territorio Aduanero Distinto de Taiwán, Penghu, Kinmen y Matsu (Taipei Chino), Tayikistán, Tonga, Trinidad y Tabago, Túnez, Türkiye, Ucrania, Uruguay, Vanuatu, Viet Nam, Zimbabwe</w:t>
      </w:r>
    </w:p>
  </w:footnote>
  <w:footnote w:id="2">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 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w:t>
      </w:r>
    </w:p>
  </w:footnote>
  <w:footnote w:id="3">
    <w:p>
      <w:r>
        <w:rPr>
          <w:rStyle w:val="FootnoteReference"/>
        </w:rPr>
        <w:footnoteRef/>
      </w:r>
      <w:r>
        <w:t xml:space="preserve"> </w:t>
      </w:r>
      <w:r>
        <w:rPr>
          <w:rStyle w:val="verdana_8"/>
        </w:rPr>
        <w:t xml:space="preserve">Venezuela, República Bolivariana de, Venezuela, República Bolivariana de</w:t>
      </w:r>
    </w:p>
  </w:footnote>
  <w:footnote w:id="4">
    <w:p>
      <w:r>
        <w:rPr>
          <w:rStyle w:val="FootnoteReference"/>
        </w:rPr>
        <w:footnoteRef/>
      </w:r>
      <w:r>
        <w:t xml:space="preserve"> </w:t>
      </w:r>
      <w:r>
        <w:rPr>
          <w:rStyle w:val="verdana_8"/>
        </w:rPr>
        <w:t xml:space="preserve">Guinea-Bissau, Haití, Yemen, Guinea-Bissau, Haití, Yemen</w:t>
      </w:r>
    </w:p>
  </w:footnote>
  <w:footnote w:id="5">
    <w:p>
      <w:r>
        <w:rPr>
          <w:rStyle w:val="FootnoteReference"/>
        </w:rPr>
        <w:footnoteRef/>
      </w:r>
      <w:r>
        <w:t xml:space="preserve"> </w:t>
      </w:r>
      <w:r>
        <w:rPr>
          <w:rStyle w:val="verdana_8"/>
        </w:rPr>
        <w:t xml:space="preserve">Albania, Antigua y Barbuda, Argentina, Armenia, Bahrein, Reino de, Barbados, Belice, Bolivia, Estado Plurinacional de , Botswana, Brasil, Brunei Darussalam, Cabo Verde , Camerún, China, Colombia, Congo, Côte d'Ivoire , Cuba, Dominica, Ecuador, Egipto, Emiratos Árabes Unidos, Eswatini, Reino de , Fiji, Filipinas, Gabón, Ghana, Granada, Guatemala, Guyana, Honduras, India, Indonesia, Jamaica, Jordania, Kazajstán, Kenya, Kuwait, Estado de, Macao, China, Macedonia del Norte, Malasia, Maldivas, Marruecos, Mauricio, Moldova, República de, Mongolia, Montenegro, Nicaragua, Nigeria, Omán, Pakistán, Panamá, Papua Nueva Guinea, Paraguay, Perú, República Dominicana, República Kirguisa, Saint Kitts y Nevis , Samoa, San Vicente y las Granadinas, Santa Lucía, Seychelles, Sri Lanka, Sudáfrica, Tailandia, Tayikistán, Tonga, Trinidad y Tabago, Ucrania, Uruguay, Vanuatu, Viet Nam, Zimbabwe, Albania, Antigua y Barbuda, Argentina, Armenia, Bahrein, Reino de, Barbados, Belice, Bolivia, Estado Plurinacional de , Botswana, Brasil, Brunei Darussalam, Cabo Verde , Camerún, China, Colombia, Congo, Côte d'Ivoire , Cuba, Dominica, Ecuador, Egipto, Emiratos Árabes Unidos, Eswatini, Reino de , Fiji, Filipinas, Gabón, Ghana, Granada, Guatemala, Guyana, Honduras, India, Indonesia, Jamaica, Jordania, Kazajstán, Kenya, Kuwait, Estado de, Macao, China, Macedonia del Norte, Malasia, Maldivas, Marruecos, Mauricio, Moldova, República de, Mongolia, Montenegro, Nicaragua, Nigeria, Omán, Pakistán, Panamá, Papua Nueva Guinea, Paraguay, Perú, República Dominicana, República Kirguisa, Saint Kitts y Nevis , Samoa, San Vicente y las Granadinas, Santa Lucía, Seychelles, Sri Lanka, Sudáfrica, Tailandia, Tayikistán, Tonga, Trinidad y Tabago, Ucrania, Uruguay, Vanuatu, Viet Nam, Zimbabwe</w:t>
      </w:r>
    </w:p>
  </w:footnote>
  <w:footnote w:id="6">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Malawi, Malí, Mauritania, Mozambique, Myanmar, Nepal, Níger, República Democrática Popular Lao, República Democrática del Congo, Rwanda, Senegal, Sierra Leona, Tanzanía, Timor Oriental, Togo, Uganda, Zambia, Afganistán, Angola, Bangladesh, Benin, Burkina Faso, Burundi, Camboya, Chad, Comoras, Djibouti, Gambia, Guinea, Islas Salomón, Lesotho, Liberia, Malawi, Malí, Mauritania, Mozambique, Myanmar, Nepal, Níger, República Democrática Popular Lao, República Democrática del Congo, Rwanda, Senegal, Sierra Leona, Tanzanía, Timor Oriental,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y Barbuda, Armenia, Bahrein, Reino de, Barbados, Belice, Bolivia, Estado Plurinacional de ,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 Albania, Antigua y Barbuda, Armenia, Bahrein, Reino de, Barbados, Belice, Bolivia, Estado Plurinacional de ,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w:t>
      </w:r>
    </w:p>
  </w:footnote>
  <w:footnote w:id="9">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 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w:t>
      </w:r>
    </w:p>
  </w:footnote>
  <w:footnote w:id="10">
    <w:p>
      <w:r>
        <w:rPr>
          <w:rStyle w:val="FootnoteReference"/>
        </w:rPr>
        <w:footnoteRef/>
      </w:r>
      <w:r>
        <w:t xml:space="preserve"> </w:t>
      </w:r>
      <w:r>
        <w:rPr>
          <w:rStyle w:val="verdana_8"/>
        </w:rPr>
        <w:t xml:space="preserve">Albania, Antigua y Barbuda, Argentina, Armenia, Bahrein, Reino de, Barbados, Belice, Bolivia, Estado Plurinacional de , Botswana, Brasil, Brunei Darussalam, Cabo Verde , Camerún, China, Colombia, Congo, Côte d'Ivoire , Cuba, Dominica, Ecuador, Egipto, Emiratos Árabes Unidos, Eswatini, Reino de , Fiji, Filipinas, Gabón, Ghana, Granada, Guatemala, Guyana, Honduras, India, Indonesia, Jamaica, Jordania, Kazajstán, Kenya, Kuwait, Estado de, Macao, China, Macedonia del Norte, Malasia, Maldivas, Marruecos, Mauricio, Moldova, República de, Mongolia, Montenegro, Nicaragua, Nigeria, Omán, Pakistán, Panamá, Papua Nueva Guinea, Paraguay, Perú, Qatar, República Dominicana, República Kirguisa, Saint Kitts y Nevis , Samoa, San Vicente y las Granadinas, Santa Lucía, Seychelles, Sri Lanka, Sudáfrica, Tailandia, Tayikistán, Tonga, Trinidad y Tabago, Ucrania, Uruguay, Vanuatu, Viet Nam, Zimbabwe, Albania, Antigua y Barbuda, Argentina, Armenia, Bahrein, Reino de, Barbados, Belice, Bolivia, Estado Plurinacional de , Botswana, Brasil, Brunei Darussalam, Cabo Verde , Camerún, China, Colombia, Congo, Côte d'Ivoire , Cuba, Dominica, Ecuador, Egipto, Emiratos Árabes Unidos, Eswatini, Reino de , Fiji, Filipinas, Gabón, Ghana, Granada, Guatemala, Guyana, Honduras, India, Indonesia, Jamaica, Jordania, Kazajstán, Kenya, Kuwait, Estado de, Macao, China, Macedonia del Norte, Malasia, Maldivas, Marruecos, Mauricio, Moldova, República de, Mongolia, Montenegro, Nicaragua, Nigeria, Omán, Pakistán, Panamá, Papua Nueva Guinea, Paraguay, Perú, Qatar, República Dominicana, República Kirguisa, Saint Kitts y Nevis , Samoa, San Vicente y las Granadinas, Santa Lucía, Seychelles, Sri Lanka, Sudáfrica, Tailandia, Tayikistán, Tonga, Trinidad y Tabago, Ucrania, Uruguay, Vanuatu, Viet Nam, Zimbabwe</w:t>
      </w:r>
    </w:p>
  </w:footnote>
  <w:footnote w:id="11">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Malawi, Malí, Mauritania, Mozambique, Myanmar, Nepal, Níger, República Democrática Popular Lao, República Democrática del Congo, Rwanda, Senegal, Sierra Leona, Tanzanía, Timor Oriental, Togo, Uganda, Zambia, Afganistán, Angola, Bangladesh, Benin, Burkina Faso, Burundi, Camboya, Chad, Comoras, Djibouti, Gambia, Guinea, Islas Salomón, Lesotho, Liberia, Malawi, Malí, Mauritania, Mozambique, Myanmar, Nepal, Níger, República Democrática Popular Lao, República Democrática del Congo, Rwanda, Senegal, Sierra Leona, Tanzanía, Timor Oriental, Togo, Uganda, Zambia</w:t>
      </w:r>
    </w:p>
  </w:footnote>
  <w:footnote w:id="12">
    <w:p>
      <w:r>
        <w:rPr>
          <w:rStyle w:val="FootnoteReference"/>
        </w:rPr>
        <w:footnoteRef/>
      </w:r>
      <w:r>
        <w:t xml:space="preserve"> </w:t>
      </w:r>
      <w:r>
        <w:rPr>
          <w:rStyle w:val="verdana_8"/>
        </w:rPr>
        <w:t xml:space="preserve">Albania, Antigua y Barbuda, Armenia, Bahrein, Reino de, Barbados, Belice, Bolivia, Estado Plurinacional de ,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 Albania, Antigua y Barbuda, Armenia, Bahrein, Reino de, Barbados, Belice, Bolivia, Estado Plurinacional de ,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w:t>
      </w:r>
    </w:p>
  </w:footnote>
  <w:footnote w:id="13">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 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w:t>
      </w:r>
    </w:p>
  </w:footnote>
  <w:footnote w:id="14">
    <w:p>
      <w:r>
        <w:rPr>
          <w:rStyle w:val="FootnoteReference"/>
        </w:rPr>
        <w:footnoteRef/>
      </w:r>
      <w:r>
        <w:t xml:space="preserve"> </w:t>
      </w:r>
      <w:r>
        <w:rPr>
          <w:rStyle w:val="verdana_8"/>
        </w:rPr>
        <w:t xml:space="preserve">Albania, Antigua y Barbuda, Armenia, Bahrein, Reino de, Barbados, Belice,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 Albania, Antigua y Barbuda, Armenia, Bahrein, Reino de, Barbados, Belice,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w:t>
      </w:r>
    </w:p>
  </w:footnote>
  <w:footnote w:id="15">
    <w:p>
      <w:r>
        <w:rPr>
          <w:rStyle w:val="FootnoteReference"/>
        </w:rPr>
        <w:footnoteRef/>
      </w:r>
      <w:r>
        <w:t xml:space="preserve"> </w:t>
      </w:r>
      <w:r>
        <w:rPr>
          <w:rStyle w:val="verdana_8"/>
        </w:rPr>
        <w:t xml:space="preserve">Afganistán, Angola, Bangladesh, Benin, Burkina Faso, Burundi, Camboya, Comoras, Djibouti, Gambia, Guinea, Islas Salomón, Lesotho, Liberia, Malawi, Malí, Mauritania, Mozambique, Myanmar, Nepal, Níger, República Centroafricana, República Democrática Popular Lao, República Democrática del Congo, Rwanda, Senegal, Sierra Leona, Tanzanía, Timor Oriental, Togo, Uganda, Zambia, Afganistán, Angola, Bangladesh, Benin, Burkina Faso, Burundi, Camboya, Comoras, Djibouti, Gambia, Guinea, Islas Salomón, Lesotho, Liberia, Malawi, Malí, Mauritania, Mozambique, Myanmar, Nepal, Níger, República Centroafricana, República Democrática Popular Lao, República Democrática del Congo, Rwanda, Senegal, Sierra Leona, Tanzanía, Timor Oriental,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Estado Plurinacional de , Bolivia, Estado Plurinacional de </w:t>
      </w:r>
    </w:p>
  </w:footnote>
  <w:footnote w:id="18">
    <w:p>
      <w:r>
        <w:rPr>
          <w:rStyle w:val="FootnoteReference"/>
        </w:rPr>
        <w:footnoteRef/>
      </w:r>
      <w:r>
        <w:t xml:space="preserve"> </w:t>
      </w:r>
      <w:r>
        <w:rPr>
          <w:rStyle w:val="verdana_8"/>
        </w:rPr>
        <w:t xml:space="preserve">Madagascar, Madagascar</w:t>
      </w:r>
    </w:p>
  </w:footnote>
  <w:footnote w:id="19">
    <w:p>
      <w:r>
        <w:rPr>
          <w:rStyle w:val="FootnoteReference"/>
        </w:rPr>
        <w:footnoteRef/>
      </w:r>
      <w:r>
        <w:t xml:space="preserve"> </w:t>
      </w:r>
      <w:r>
        <w:rPr>
          <w:rStyle w:val="verdana_8"/>
        </w:rPr>
        <w:t xml:space="preserve">Albania, Bahrein, Reino de, Belice, Bolivia, Estado Plurinacional de , Cabo Verde , Costa Rica, Côte d'Ivoire , Cuba, Ecuador, Egipto, El Salvador, Eswatini, Reino de , Fiji, Ghana, Guatemala, Guyana, Honduras, Kenya, Maldivas, Moldova, República de, Nicaragua, Paraguay, Perú, República Dominicana, Santa Lucía, Seychelles, Sri Lanka, Tonga, Trinidad y Tabago, Túnez, Ucrania, Vanuatu, Albania, Bahrein, Reino de, Belice, Bolivia, Estado Plurinacional de , Cabo Verde , Costa Rica, Côte d'Ivoire , Cuba, Ecuador, Egipto, El Salvador, Eswatini, Reino de , Fiji, Ghana, Guatemala, Guyana, Honduras, Kenya, Maldivas, Moldova, República de, Nicaragua, Paraguay, Perú, República Dominicana, Santa Lucía, Seychelles, Sri Lanka, Tonga, Trinidad y Tabago, Túnez, Ucrania, Vanuatu</w:t>
      </w:r>
    </w:p>
  </w:footnote>
  <w:footnote w:id="20">
    <w:p>
      <w:r>
        <w:rPr>
          <w:rStyle w:val="FootnoteReference"/>
        </w:rPr>
        <w:footnoteRef/>
      </w:r>
      <w:r>
        <w:t xml:space="preserve"> </w:t>
      </w:r>
      <w:r>
        <w:rPr>
          <w:rStyle w:val="verdana_8"/>
        </w:rPr>
        <w:t xml:space="preserve">Angola, Bangladesh, Burundi, Camboya, Islas Salomón, Lesotho, Liberia, Madagascar, Malawi, Malí, Myanmar, Níger, República Democrática Popular Lao, Rwanda, Senegal, Sierra Leona, Tanzanía, Togo, Uganda, Angola, Bangladesh, Burundi, Camboya, Islas Salomón, Lesotho, Liberia, Madagascar, Malawi, Malí, Myanmar, Níger, República Democrática Popular Lao, Rwanda, Senegal, Sierra Leona, Tanzanía, Togo, Uganda</w:t>
      </w:r>
    </w:p>
  </w:footnote>
  <w:footnote w:id="21">
    <w:p>
      <w:r>
        <w:rPr>
          <w:rStyle w:val="FootnoteReference"/>
        </w:rPr>
        <w:footnoteRef/>
      </w:r>
      <w:r>
        <w:t xml:space="preserve"> </w:t>
      </w:r>
      <w:r>
        <w:rPr>
          <w:rStyle w:val="verdana_8"/>
        </w:rPr>
        <w:t xml:space="preserve">Albania, Bahrein, Reino de, Belice, Bolivia, Estado Plurinacional de , Cabo Verde , Costa Rica, Côte d'Ivoire , Cuba, Ecuador, Egipto, El Salvador, Eswatini, Reino de , Fiji, Ghana, Guatemala, Guyana, Honduras, Kenya, Maldivas, Moldova, República de, Nicaragua, Paraguay, Perú, República Dominicana, Santa Lucía, Seychelles, Sri Lanka, Tonga, Trinidad y Tabago, Túnez, Ucrania, Vanuatu, Albania, Bahrein, Reino de, Belice, Bolivia, Estado Plurinacional de , Cabo Verde , Costa Rica, Côte d'Ivoire , Cuba, Ecuador, Egipto, El Salvador, Eswatini, Reino de , Fiji, Ghana, Guatemala, Guyana, Honduras, Kenya, Maldivas, Moldova, República de, Nicaragua, Paraguay, Perú, República Dominicana, Santa Lucía, Seychelles, Sri Lanka, Tonga, Trinidad y Tabago, Túnez, Ucrania, Vanuatu</w:t>
      </w:r>
    </w:p>
  </w:footnote>
  <w:footnote w:id="22">
    <w:p>
      <w:r>
        <w:rPr>
          <w:rStyle w:val="FootnoteReference"/>
        </w:rPr>
        <w:footnoteRef/>
      </w:r>
      <w:r>
        <w:t xml:space="preserve"> </w:t>
      </w:r>
      <w:r>
        <w:rPr>
          <w:rStyle w:val="verdana_8"/>
        </w:rPr>
        <w:t xml:space="preserve">Angola, Bangladesh, Burundi, Camboya, Islas Salomón, Lesotho, Liberia, Madagascar, Malawi, Malí, Myanmar, Níger, República Democrática Popular Lao, Rwanda, Senegal, Sierra Leona, Tanzanía, Togo, Uganda, Angola, Bangladesh, Burundi, Camboya, Islas Salomón, Lesotho, Liberia, Madagascar, Malawi, Malí, Myanmar, Níger, República Democrática Popular Lao, Rwanda, Senegal, Sierra Leona, Tanzanía,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2026-05-19T07:24:07+00:00</dcterms:created>
  <dcterms:modified xsi:type="dcterms:W3CDTF">2026-05-19T07:24:07+00:00</dcterms:modified>
</cp:coreProperties>
</file>

<file path=docProps/custom.xml><?xml version="1.0" encoding="utf-8"?>
<Properties xmlns="http://schemas.openxmlformats.org/officeDocument/2006/custom-properties" xmlns:vt="http://schemas.openxmlformats.org/officeDocument/2006/docPropsVTypes"/>
</file>